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380" w:lineRule="exact"/>
        <w:jc w:val="right"/>
        <w:rPr>
          <w:rFonts w:ascii="汉仪仿宋简" w:hAnsi="宋体" w:eastAsia="汉仪仿宋简" w:cs="Times New Roman"/>
          <w:kern w:val="0"/>
          <w:sz w:val="32"/>
          <w:szCs w:val="32"/>
        </w:rPr>
      </w:pPr>
    </w:p>
    <w:p>
      <w:pPr>
        <w:widowControl/>
        <w:spacing w:line="380" w:lineRule="exact"/>
        <w:jc w:val="right"/>
        <w:rPr>
          <w:rFonts w:ascii="汉仪仿宋简" w:hAnsi="宋体" w:eastAsia="汉仪仿宋简" w:cs="Times New Roman"/>
          <w:kern w:val="0"/>
          <w:sz w:val="32"/>
          <w:szCs w:val="32"/>
        </w:rPr>
      </w:pPr>
    </w:p>
    <w:p>
      <w:pPr>
        <w:widowControl/>
        <w:spacing w:line="380" w:lineRule="exact"/>
        <w:jc w:val="right"/>
        <w:rPr>
          <w:rFonts w:ascii="汉仪仿宋简" w:hAnsi="宋体" w:eastAsia="汉仪仿宋简" w:cs="Times New Roman"/>
          <w:kern w:val="0"/>
          <w:sz w:val="32"/>
          <w:szCs w:val="32"/>
        </w:rPr>
      </w:pPr>
    </w:p>
    <w:p>
      <w:pPr>
        <w:widowControl/>
        <w:spacing w:line="380" w:lineRule="exact"/>
        <w:jc w:val="right"/>
        <w:rPr>
          <w:rFonts w:ascii="汉仪仿宋简" w:hAnsi="宋体" w:eastAsia="汉仪仿宋简" w:cs="Times New Roman"/>
          <w:kern w:val="0"/>
          <w:sz w:val="32"/>
          <w:szCs w:val="32"/>
        </w:rPr>
      </w:pPr>
    </w:p>
    <w:p>
      <w:pPr>
        <w:widowControl/>
        <w:spacing w:line="380" w:lineRule="exact"/>
        <w:jc w:val="right"/>
        <w:rPr>
          <w:rFonts w:ascii="汉仪仿宋简" w:hAnsi="宋体" w:eastAsia="汉仪仿宋简" w:cs="Times New Roman"/>
          <w:kern w:val="0"/>
          <w:sz w:val="32"/>
          <w:szCs w:val="32"/>
        </w:rPr>
      </w:pPr>
    </w:p>
    <w:p>
      <w:pPr>
        <w:widowControl/>
        <w:spacing w:line="380" w:lineRule="exact"/>
        <w:jc w:val="right"/>
        <w:rPr>
          <w:rFonts w:ascii="汉仪仿宋简" w:hAnsi="宋体" w:eastAsia="汉仪仿宋简" w:cs="Times New Roman"/>
          <w:kern w:val="0"/>
          <w:sz w:val="32"/>
          <w:szCs w:val="32"/>
        </w:rPr>
      </w:pPr>
    </w:p>
    <w:p>
      <w:pPr>
        <w:widowControl/>
        <w:spacing w:line="380" w:lineRule="exact"/>
        <w:jc w:val="righ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教高司函〔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2014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〕</w:t>
      </w:r>
      <w:r>
        <w:rPr>
          <w:rFonts w:ascii="仿宋_GB2312" w:hAnsi="宋体" w:eastAsia="仿宋_GB2312" w:cs="仿宋_GB2312"/>
          <w:kern w:val="0"/>
          <w:sz w:val="32"/>
          <w:szCs w:val="32"/>
        </w:rPr>
        <w:t>33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号</w:t>
      </w:r>
    </w:p>
    <w:p>
      <w:pPr>
        <w:widowControl/>
        <w:spacing w:line="360" w:lineRule="auto"/>
        <w:rPr>
          <w:rFonts w:ascii="汉仪仿宋简" w:hAnsi="宋体" w:eastAsia="汉仪仿宋简" w:cs="Times New Roman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黑体" w:hAnsi="宋体" w:eastAsia="黑体" w:cs="Times New Roman"/>
          <w:color w:val="000000"/>
          <w:kern w:val="0"/>
          <w:sz w:val="32"/>
          <w:szCs w:val="32"/>
        </w:rPr>
      </w:pPr>
      <w:bookmarkStart w:id="5" w:name="_GoBack"/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关于公布</w:t>
      </w:r>
      <w:r>
        <w:rPr>
          <w:rFonts w:ascii="黑体" w:hAnsi="宋体" w:eastAsia="黑体" w:cs="黑体"/>
          <w:color w:val="000000"/>
          <w:kern w:val="0"/>
          <w:sz w:val="32"/>
          <w:szCs w:val="32"/>
        </w:rPr>
        <w:t>2014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年下半年全国高校教师网络培训计划的通知</w:t>
      </w:r>
      <w:bookmarkEnd w:id="5"/>
    </w:p>
    <w:p>
      <w:pPr>
        <w:widowControl/>
        <w:spacing w:line="380" w:lineRule="exact"/>
        <w:jc w:val="center"/>
        <w:rPr>
          <w:rFonts w:ascii="汉仪仿宋简" w:hAnsi="宋体" w:eastAsia="汉仪仿宋简" w:cs="Times New Roman"/>
          <w:color w:val="000000"/>
          <w:kern w:val="0"/>
          <w:sz w:val="32"/>
          <w:szCs w:val="32"/>
        </w:rPr>
      </w:pPr>
    </w:p>
    <w:p>
      <w:pPr>
        <w:pStyle w:val="6"/>
        <w:snapToGrid w:val="0"/>
        <w:spacing w:before="0" w:beforeAutospacing="0" w:after="0" w:afterAutospacing="0" w:line="480" w:lineRule="exact"/>
        <w:jc w:val="both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2"/>
          <w:sz w:val="30"/>
          <w:szCs w:val="30"/>
        </w:rPr>
        <w:t>各省、自治区、直辖市教育厅（教委），新疆生产建设兵团教育局</w:t>
      </w:r>
      <w:r>
        <w:rPr>
          <w:rFonts w:hint="eastAsia" w:ascii="仿宋_GB2312" w:eastAsia="仿宋_GB2312" w:cs="仿宋_GB2312"/>
          <w:sz w:val="30"/>
          <w:szCs w:val="30"/>
        </w:rPr>
        <w:t>，部属各高等学校：</w:t>
      </w:r>
    </w:p>
    <w:p>
      <w:pPr>
        <w:pStyle w:val="6"/>
        <w:snapToGrid w:val="0"/>
        <w:spacing w:before="0" w:beforeAutospacing="0" w:after="0" w:afterAutospacing="0" w:line="480" w:lineRule="exact"/>
        <w:ind w:firstLine="600" w:firstLineChars="200"/>
        <w:jc w:val="both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为促进优质教学成果的应用与共享，进一步提高高校教师业务水平和教学能力，根据《教育部关于批准“本科教学工程”高等学校教师网络培训系统项目二期建设方案的通知》（教高函〔</w:t>
      </w:r>
      <w:r>
        <w:rPr>
          <w:rFonts w:ascii="仿宋_GB2312" w:eastAsia="仿宋_GB2312" w:cs="仿宋_GB2312"/>
          <w:sz w:val="30"/>
          <w:szCs w:val="30"/>
        </w:rPr>
        <w:t>2012</w:t>
      </w:r>
      <w:r>
        <w:rPr>
          <w:rFonts w:hint="eastAsia" w:ascii="仿宋_GB2312" w:eastAsia="仿宋_GB2312" w:cs="仿宋_GB2312"/>
          <w:sz w:val="30"/>
          <w:szCs w:val="30"/>
        </w:rPr>
        <w:t>〕</w:t>
      </w:r>
      <w:r>
        <w:rPr>
          <w:rFonts w:ascii="仿宋_GB2312" w:eastAsia="仿宋_GB2312" w:cs="仿宋_GB2312"/>
          <w:sz w:val="30"/>
          <w:szCs w:val="30"/>
        </w:rPr>
        <w:t>6</w:t>
      </w:r>
      <w:r>
        <w:rPr>
          <w:rFonts w:hint="eastAsia" w:ascii="仿宋_GB2312" w:eastAsia="仿宋_GB2312" w:cs="仿宋_GB2312"/>
          <w:sz w:val="30"/>
          <w:szCs w:val="30"/>
        </w:rPr>
        <w:t>号）精神，经研究，现将</w:t>
      </w:r>
      <w:r>
        <w:rPr>
          <w:rFonts w:ascii="仿宋_GB2312" w:eastAsia="仿宋_GB2312" w:cs="仿宋_GB2312"/>
          <w:sz w:val="30"/>
          <w:szCs w:val="30"/>
        </w:rPr>
        <w:t>2014</w:t>
      </w:r>
      <w:r>
        <w:rPr>
          <w:rFonts w:hint="eastAsia" w:ascii="仿宋_GB2312" w:eastAsia="仿宋_GB2312" w:cs="仿宋_GB2312"/>
          <w:sz w:val="30"/>
          <w:szCs w:val="30"/>
        </w:rPr>
        <w:t>年下半年全国高校教师网络培训计划予以公布（具体见附件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hint="eastAsia" w:ascii="仿宋_GB2312" w:eastAsia="仿宋_GB2312" w:cs="仿宋_GB2312"/>
          <w:sz w:val="30"/>
          <w:szCs w:val="30"/>
        </w:rPr>
        <w:t>、</w:t>
      </w:r>
      <w:r>
        <w:rPr>
          <w:rFonts w:ascii="仿宋_GB2312" w:eastAsia="仿宋_GB2312" w:cs="仿宋_GB2312"/>
          <w:sz w:val="30"/>
          <w:szCs w:val="30"/>
        </w:rPr>
        <w:t>2</w:t>
      </w:r>
      <w:r>
        <w:rPr>
          <w:rFonts w:hint="eastAsia" w:ascii="仿宋_GB2312" w:eastAsia="仿宋_GB2312" w:cs="仿宋_GB2312"/>
          <w:sz w:val="30"/>
          <w:szCs w:val="30"/>
        </w:rPr>
        <w:t>、</w:t>
      </w:r>
      <w:r>
        <w:rPr>
          <w:rFonts w:ascii="仿宋_GB2312" w:eastAsia="仿宋_GB2312" w:cs="仿宋_GB2312"/>
          <w:sz w:val="30"/>
          <w:szCs w:val="30"/>
        </w:rPr>
        <w:t>3</w:t>
      </w:r>
      <w:r>
        <w:rPr>
          <w:rFonts w:hint="eastAsia" w:ascii="仿宋_GB2312" w:eastAsia="仿宋_GB2312" w:cs="仿宋_GB2312"/>
          <w:sz w:val="30"/>
          <w:szCs w:val="30"/>
        </w:rPr>
        <w:t>、</w:t>
      </w:r>
      <w:r>
        <w:rPr>
          <w:rFonts w:ascii="仿宋_GB2312" w:eastAsia="仿宋_GB2312" w:cs="仿宋_GB2312"/>
          <w:sz w:val="30"/>
          <w:szCs w:val="30"/>
        </w:rPr>
        <w:t>4</w:t>
      </w:r>
      <w:r>
        <w:rPr>
          <w:rFonts w:hint="eastAsia" w:ascii="仿宋_GB2312" w:eastAsia="仿宋_GB2312" w:cs="仿宋_GB2312"/>
          <w:sz w:val="30"/>
          <w:szCs w:val="30"/>
        </w:rPr>
        <w:t>）。</w:t>
      </w:r>
    </w:p>
    <w:p>
      <w:pPr>
        <w:pStyle w:val="6"/>
        <w:snapToGrid w:val="0"/>
        <w:spacing w:before="0" w:beforeAutospacing="0" w:after="0" w:afterAutospacing="0" w:line="480" w:lineRule="exact"/>
        <w:ind w:firstLine="600" w:firstLineChars="200"/>
        <w:jc w:val="both"/>
        <w:rPr>
          <w:rFonts w:ascii="仿宋_GB2312" w:hAnsi="Times New Roman" w:eastAsia="仿宋_GB2312" w:cs="Times New Roman"/>
          <w:kern w:val="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高校教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</w:rPr>
        <w:t>师网络培训以研讨交流先进教学理念、经验、技术和方法为主要内容，由高校教学名师奖获得者、国家精品开放课程主持人、国家级教学团队带头人、国家级特色专业负责人等担任主讲教师。培训对象为高校承担与所培训课程相同或相近教学任务的在职教师，重点是中青年教师。</w:t>
      </w:r>
    </w:p>
    <w:p>
      <w:pPr>
        <w:pStyle w:val="6"/>
        <w:snapToGrid w:val="0"/>
        <w:spacing w:before="0" w:beforeAutospacing="0" w:after="0" w:afterAutospacing="0" w:line="480" w:lineRule="exact"/>
        <w:ind w:firstLine="600" w:firstLineChars="200"/>
        <w:jc w:val="both"/>
        <w:rPr>
          <w:rFonts w:ascii="仿宋_GB2312" w:hAnsi="Times New Roman" w:eastAsia="仿宋_GB2312" w:cs="Times New Roman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2"/>
          <w:sz w:val="30"/>
          <w:szCs w:val="30"/>
        </w:rPr>
        <w:t>培训方式主要通过全国高校教师网络培训系统进行，分为集中培训、网络直播培训、在线培训和网络公益讲座。其中，集中培训一般安排在周末，参训地点设在全国高校教师网络培训中心（以下简称“网培中心”）、各地高校教师网络培训分中心或相关高校，列入我部“对口支援西部高校计划”的受援高校，可直接在本校开设分会场组织教师免费参训。网络直播培训是教师在网上直接报名参加培训的一种便捷培训模式，参训教师可在直播时段自由选择参加网络直播培训，地点不限。在线培训包含网培公开课、公开选修专题及各类课程教学（专题）培训，学习时间和地点不限，教师通过点播视频进行自主学习，并参加在线辅导和交流活动。教师可通过院校教师在线学习中心集体选课报名或在“网培中心”网站上自主注册报名参加培训。网络公益讲座安排在每周一至周四下午，在培训中心或相关高校设置主会场，学校可自设分会场组织收看，已参加培训的教师可登陆“网培中心”网站直接收看。</w:t>
      </w:r>
    </w:p>
    <w:p>
      <w:pPr>
        <w:pStyle w:val="6"/>
        <w:snapToGrid w:val="0"/>
        <w:spacing w:before="0" w:beforeAutospacing="0" w:after="0" w:afterAutospacing="0" w:line="480" w:lineRule="exact"/>
        <w:ind w:firstLine="600" w:firstLineChars="200"/>
        <w:jc w:val="both"/>
        <w:rPr>
          <w:rFonts w:ascii="仿宋_GB2312" w:hAnsi="Times New Roman" w:eastAsia="仿宋_GB2312" w:cs="Times New Roman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2"/>
          <w:sz w:val="30"/>
          <w:szCs w:val="30"/>
        </w:rPr>
        <w:t>参训教师需在“网培中心”网站（</w:t>
      </w:r>
      <w:r>
        <w:fldChar w:fldCharType="begin"/>
      </w:r>
      <w:r>
        <w:instrText xml:space="preserve">HYPERLINK "http://www.enetedu.com/" </w:instrText>
      </w:r>
      <w:r>
        <w:fldChar w:fldCharType="separate"/>
      </w:r>
      <w:r>
        <w:rPr>
          <w:rFonts w:ascii="仿宋_GB2312" w:hAnsi="Times New Roman" w:eastAsia="仿宋_GB2312" w:cs="仿宋_GB2312"/>
          <w:kern w:val="2"/>
          <w:sz w:val="30"/>
          <w:szCs w:val="30"/>
        </w:rPr>
        <w:t>http://www.enetedu.com</w:t>
      </w:r>
      <w:r>
        <w:fldChar w:fldCharType="end"/>
      </w:r>
      <w:r>
        <w:rPr>
          <w:rFonts w:hint="eastAsia" w:ascii="仿宋_GB2312" w:hAnsi="Times New Roman" w:eastAsia="仿宋_GB2312" w:cs="仿宋_GB2312"/>
          <w:kern w:val="2"/>
          <w:sz w:val="30"/>
          <w:szCs w:val="30"/>
        </w:rPr>
        <w:t>）上提前注册报名。培训的具体事项由“网培中心”另行通知，会务及技术支持由“网培中心”依托单位</w:t>
      </w:r>
      <w:r>
        <w:rPr>
          <w:rFonts w:ascii="仿宋_GB2312" w:hAnsi="Times New Roman" w:eastAsia="仿宋_GB2312" w:cs="Times New Roman"/>
          <w:kern w:val="2"/>
          <w:sz w:val="30"/>
          <w:szCs w:val="30"/>
        </w:rPr>
        <w:t>——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</w:rPr>
        <w:t>北京畅想数字音像科技股份有限公司及各地网培分中心承担。具体培训信息可在“网培中心”网站查询。</w:t>
      </w:r>
    </w:p>
    <w:p>
      <w:pPr>
        <w:pStyle w:val="6"/>
        <w:snapToGrid w:val="0"/>
        <w:spacing w:before="0" w:beforeAutospacing="0" w:after="0" w:afterAutospacing="0" w:line="480" w:lineRule="exact"/>
        <w:ind w:firstLine="600" w:firstLineChars="200"/>
        <w:jc w:val="both"/>
        <w:rPr>
          <w:rFonts w:ascii="仿宋_GB2312" w:hAnsi="Times New Roman" w:eastAsia="仿宋_GB2312" w:cs="Times New Roman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2"/>
          <w:sz w:val="30"/>
          <w:szCs w:val="30"/>
        </w:rPr>
        <w:t>对经学校有关部门推荐参加培训的教师，考评合格后可获得由“网培中心”颁发的培训结业证书。对参训达到一定标准的教师，将颁发我司和教师工作司共同签发的“高等学校骨干教师培训证书”，具体标准由“网培中心”制定。对参加培训并获得证书的教师，所在学校应承认其接受培训的经历，记入相关档案，并作为教师职务评聘的参考依据之一。</w:t>
      </w:r>
    </w:p>
    <w:p>
      <w:pPr>
        <w:pStyle w:val="6"/>
        <w:snapToGrid w:val="0"/>
        <w:spacing w:before="0" w:beforeAutospacing="0" w:after="0" w:afterAutospacing="0" w:line="480" w:lineRule="exact"/>
        <w:ind w:firstLine="600" w:firstLineChars="200"/>
        <w:jc w:val="both"/>
        <w:rPr>
          <w:rFonts w:ascii="仿宋_GB2312" w:hAnsi="Times New Roman" w:eastAsia="仿宋_GB2312" w:cs="Times New Roman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2"/>
          <w:sz w:val="30"/>
          <w:szCs w:val="30"/>
        </w:rPr>
        <w:t>各地各高校要高度重视高校教师培训工作，进一步加大工作力度，不断提高教师特别是中青年教师的业务水平和教学能力，增强教学实效，切实提高人才培养质量。</w:t>
      </w:r>
    </w:p>
    <w:p>
      <w:pPr>
        <w:pStyle w:val="6"/>
        <w:snapToGrid w:val="0"/>
        <w:spacing w:before="0" w:beforeAutospacing="0" w:after="0" w:afterAutospacing="0" w:line="480" w:lineRule="exact"/>
        <w:ind w:firstLine="600" w:firstLineChars="200"/>
        <w:jc w:val="both"/>
        <w:rPr>
          <w:rFonts w:ascii="仿宋_GB2312" w:hAnsi="Times New Roman" w:eastAsia="仿宋_GB2312" w:cs="Times New Roman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2"/>
          <w:sz w:val="30"/>
          <w:szCs w:val="30"/>
        </w:rPr>
        <w:t>请各省、自治区、直辖市教育厅（教委）和新疆生产建设兵团教育局将此文转发至辖区内所有高校。</w:t>
      </w:r>
    </w:p>
    <w:p>
      <w:pPr>
        <w:pStyle w:val="6"/>
        <w:snapToGrid w:val="0"/>
        <w:spacing w:before="0" w:beforeAutospacing="0" w:after="0" w:afterAutospacing="0" w:line="480" w:lineRule="exact"/>
        <w:ind w:firstLine="600" w:firstLineChars="200"/>
        <w:jc w:val="both"/>
        <w:rPr>
          <w:rFonts w:ascii="仿宋_GB2312" w:hAnsi="Times New Roman" w:eastAsia="仿宋_GB2312" w:cs="Times New Roman"/>
          <w:kern w:val="2"/>
          <w:sz w:val="30"/>
          <w:szCs w:val="30"/>
        </w:rPr>
      </w:pPr>
    </w:p>
    <w:p>
      <w:pPr>
        <w:pStyle w:val="6"/>
        <w:snapToGrid w:val="0"/>
        <w:spacing w:before="0" w:beforeAutospacing="0" w:after="0" w:afterAutospacing="0" w:line="480" w:lineRule="exact"/>
        <w:ind w:firstLine="600" w:firstLineChars="200"/>
        <w:jc w:val="both"/>
        <w:rPr>
          <w:rFonts w:ascii="仿宋_GB2312" w:hAnsi="Times New Roman" w:eastAsia="仿宋_GB2312" w:cs="Times New Roman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2"/>
          <w:sz w:val="30"/>
          <w:szCs w:val="30"/>
        </w:rPr>
        <w:t>附件：</w:t>
      </w:r>
      <w:r>
        <w:rPr>
          <w:rFonts w:ascii="仿宋_GB2312" w:hAnsi="Times New Roman" w:eastAsia="仿宋_GB2312" w:cs="仿宋_GB2312"/>
          <w:kern w:val="2"/>
          <w:sz w:val="30"/>
          <w:szCs w:val="30"/>
        </w:rPr>
        <w:t>1.2014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</w:rPr>
        <w:t>年下半年集中培训课程</w:t>
      </w:r>
    </w:p>
    <w:p>
      <w:pPr>
        <w:pStyle w:val="6"/>
        <w:snapToGrid w:val="0"/>
        <w:spacing w:before="0" w:beforeAutospacing="0" w:after="0" w:afterAutospacing="0" w:line="480" w:lineRule="exact"/>
        <w:ind w:firstLine="1500" w:firstLineChars="500"/>
        <w:jc w:val="both"/>
        <w:rPr>
          <w:rFonts w:ascii="仿宋_GB2312" w:hAnsi="Times New Roman" w:eastAsia="仿宋_GB2312" w:cs="Times New Roman"/>
          <w:kern w:val="2"/>
          <w:sz w:val="30"/>
          <w:szCs w:val="30"/>
        </w:rPr>
      </w:pPr>
      <w:r>
        <w:rPr>
          <w:rFonts w:ascii="仿宋_GB2312" w:hAnsi="Times New Roman" w:eastAsia="仿宋_GB2312" w:cs="仿宋_GB2312"/>
          <w:kern w:val="2"/>
          <w:sz w:val="30"/>
          <w:szCs w:val="30"/>
        </w:rPr>
        <w:t>2.2014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</w:rPr>
        <w:t>年下半年网络直播培训课程</w:t>
      </w:r>
    </w:p>
    <w:p>
      <w:pPr>
        <w:pStyle w:val="6"/>
        <w:snapToGrid w:val="0"/>
        <w:spacing w:before="0" w:beforeAutospacing="0" w:after="0" w:afterAutospacing="0" w:line="480" w:lineRule="exact"/>
        <w:ind w:firstLine="1500" w:firstLineChars="500"/>
        <w:jc w:val="both"/>
        <w:rPr>
          <w:rFonts w:ascii="仿宋_GB2312" w:hAnsi="Times New Roman" w:eastAsia="仿宋_GB2312" w:cs="Times New Roman"/>
          <w:kern w:val="2"/>
          <w:sz w:val="30"/>
          <w:szCs w:val="30"/>
        </w:rPr>
      </w:pPr>
      <w:r>
        <w:rPr>
          <w:rFonts w:ascii="仿宋_GB2312" w:hAnsi="Times New Roman" w:eastAsia="仿宋_GB2312" w:cs="仿宋_GB2312"/>
          <w:kern w:val="2"/>
          <w:sz w:val="30"/>
          <w:szCs w:val="30"/>
        </w:rPr>
        <w:t>3.2014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</w:rPr>
        <w:t>年下半年在线培训课程</w:t>
      </w:r>
    </w:p>
    <w:p>
      <w:pPr>
        <w:pStyle w:val="6"/>
        <w:snapToGrid w:val="0"/>
        <w:spacing w:before="0" w:beforeAutospacing="0" w:after="0" w:afterAutospacing="0" w:line="480" w:lineRule="exact"/>
        <w:ind w:firstLine="1500" w:firstLineChars="500"/>
        <w:jc w:val="both"/>
        <w:rPr>
          <w:rFonts w:ascii="仿宋_GB2312" w:hAnsi="Times New Roman" w:eastAsia="仿宋_GB2312" w:cs="Times New Roman"/>
          <w:kern w:val="2"/>
          <w:sz w:val="30"/>
          <w:szCs w:val="30"/>
        </w:rPr>
      </w:pPr>
      <w:r>
        <w:rPr>
          <w:rFonts w:ascii="仿宋_GB2312" w:hAnsi="Times New Roman" w:eastAsia="仿宋_GB2312" w:cs="仿宋_GB2312"/>
          <w:kern w:val="2"/>
          <w:sz w:val="30"/>
          <w:szCs w:val="30"/>
        </w:rPr>
        <w:t>4.2014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</w:rPr>
        <w:t>年下半年网络公益讲座</w:t>
      </w:r>
    </w:p>
    <w:p>
      <w:pPr>
        <w:snapToGrid w:val="0"/>
        <w:spacing w:line="480" w:lineRule="exact"/>
        <w:ind w:firstLine="5250" w:firstLineChars="1750"/>
        <w:jc w:val="left"/>
        <w:rPr>
          <w:rFonts w:ascii="仿宋_GB2312" w:eastAsia="仿宋_GB2312" w:cs="Times New Roman"/>
          <w:sz w:val="30"/>
          <w:szCs w:val="30"/>
        </w:rPr>
      </w:pPr>
    </w:p>
    <w:p>
      <w:pPr>
        <w:snapToGrid w:val="0"/>
        <w:spacing w:line="480" w:lineRule="exact"/>
        <w:ind w:firstLine="6150" w:firstLineChars="2050"/>
        <w:jc w:val="lef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教育部高等教育司</w:t>
      </w:r>
    </w:p>
    <w:p>
      <w:pPr>
        <w:snapToGrid w:val="0"/>
        <w:spacing w:line="480" w:lineRule="exact"/>
        <w:ind w:firstLine="6300" w:firstLineChars="2100"/>
        <w:jc w:val="left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2014</w:t>
      </w:r>
      <w:r>
        <w:rPr>
          <w:rFonts w:hint="eastAsia" w:ascii="仿宋_GB2312" w:eastAsia="仿宋_GB2312" w:cs="仿宋_GB2312"/>
          <w:sz w:val="30"/>
          <w:szCs w:val="30"/>
        </w:rPr>
        <w:t>年</w:t>
      </w:r>
      <w:r>
        <w:rPr>
          <w:rFonts w:ascii="仿宋_GB2312" w:eastAsia="仿宋_GB2312" w:cs="仿宋_GB2312"/>
          <w:sz w:val="30"/>
          <w:szCs w:val="30"/>
        </w:rPr>
        <w:t>7</w:t>
      </w:r>
      <w:r>
        <w:rPr>
          <w:rFonts w:hint="eastAsia" w:ascii="仿宋_GB2312" w:eastAsia="仿宋_GB2312" w:cs="仿宋_GB2312"/>
          <w:sz w:val="30"/>
          <w:szCs w:val="30"/>
        </w:rPr>
        <w:t>月</w:t>
      </w:r>
      <w:r>
        <w:rPr>
          <w:rFonts w:ascii="仿宋_GB2312" w:eastAsia="仿宋_GB2312" w:cs="仿宋_GB2312"/>
          <w:sz w:val="30"/>
          <w:szCs w:val="30"/>
        </w:rPr>
        <w:t>11</w:t>
      </w:r>
      <w:r>
        <w:rPr>
          <w:rFonts w:hint="eastAsia" w:ascii="仿宋_GB2312" w:eastAsia="仿宋_GB2312" w:cs="仿宋_GB2312"/>
          <w:sz w:val="30"/>
          <w:szCs w:val="30"/>
        </w:rPr>
        <w:t>日</w:t>
      </w:r>
    </w:p>
    <w:p>
      <w:pPr>
        <w:widowControl/>
        <w:jc w:val="left"/>
        <w:rPr>
          <w:rFonts w:ascii="仿宋_GB2312" w:hAnsi="华文宋体" w:eastAsia="仿宋_GB2312" w:cs="Times New Roman"/>
          <w:sz w:val="30"/>
          <w:szCs w:val="30"/>
        </w:rPr>
      </w:pPr>
      <w:r>
        <w:rPr>
          <w:rFonts w:ascii="汉仪仿宋简" w:hAnsi="华文宋体" w:eastAsia="汉仪仿宋简" w:cs="Times New Roman"/>
          <w:b/>
          <w:bCs/>
          <w:sz w:val="28"/>
          <w:szCs w:val="28"/>
        </w:rPr>
        <w:br w:type="page"/>
      </w:r>
      <w:r>
        <w:rPr>
          <w:rFonts w:hint="eastAsia" w:ascii="仿宋_GB2312" w:hAnsi="华文宋体" w:eastAsia="仿宋_GB2312" w:cs="仿宋_GB2312"/>
          <w:sz w:val="30"/>
          <w:szCs w:val="30"/>
        </w:rPr>
        <w:t>附件</w:t>
      </w:r>
      <w:r>
        <w:rPr>
          <w:rFonts w:ascii="仿宋_GB2312" w:hAnsi="华文宋体" w:eastAsia="仿宋_GB2312" w:cs="仿宋_GB2312"/>
          <w:sz w:val="30"/>
          <w:szCs w:val="30"/>
        </w:rPr>
        <w:t>1</w:t>
      </w:r>
    </w:p>
    <w:p>
      <w:pPr>
        <w:widowControl/>
        <w:jc w:val="center"/>
        <w:rPr>
          <w:rFonts w:ascii="宋体" w:cs="Times New Roman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2014</w:t>
      </w:r>
      <w:r>
        <w:rPr>
          <w:rFonts w:hint="eastAsia" w:ascii="宋体" w:hAnsi="宋体" w:cs="宋体"/>
          <w:b/>
          <w:bCs/>
          <w:sz w:val="30"/>
          <w:szCs w:val="30"/>
        </w:rPr>
        <w:t>年下半年集中培训课程</w:t>
      </w:r>
    </w:p>
    <w:tbl>
      <w:tblPr>
        <w:tblStyle w:val="11"/>
        <w:tblW w:w="9846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108" w:type="dxa"/>
          <w:right w:w="108" w:type="dxa"/>
        </w:tblCellMar>
      </w:tblPr>
      <w:tblGrid>
        <w:gridCol w:w="648"/>
        <w:gridCol w:w="3259"/>
        <w:gridCol w:w="1961"/>
        <w:gridCol w:w="2838"/>
        <w:gridCol w:w="11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64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培训时间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主讲教师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培训地点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专题</w:t>
            </w:r>
            <w:r>
              <w:rPr>
                <w:rFonts w:ascii="宋体" w:hAnsi="宋体" w:cs="宋体"/>
                <w:color w:val="000000"/>
                <w:kern w:val="0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新进教师教学能力与科研素养提升（理工）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19-20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冯博琴（西安交通大学）、万跃华（浙江工业大学）等</w:t>
            </w:r>
          </w:p>
        </w:tc>
        <w:tc>
          <w:tcPr>
            <w:tcW w:w="114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  <w:r>
              <w:rPr>
                <w:rFonts w:hint="eastAsia" w:ascii="汉仪仿宋简" w:hAnsi="华文中宋" w:eastAsia="汉仪仿宋简" w:cs="汉仪仿宋简"/>
                <w:color w:val="000000"/>
                <w:kern w:val="0"/>
              </w:rPr>
              <w:t>各省市分中心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专题</w:t>
            </w:r>
            <w:r>
              <w:rPr>
                <w:rFonts w:ascii="宋体" w:hAnsi="宋体" w:cs="宋体"/>
                <w:color w:val="000000"/>
                <w:kern w:val="0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新进教师教学能力与科研素养提升（文科）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19-20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王守仁（南京大学）、孙艳红（吉林师范大学）、周游（哈尔滨商业大学）等</w:t>
            </w:r>
          </w:p>
        </w:tc>
        <w:tc>
          <w:tcPr>
            <w:tcW w:w="114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英语课程教学方法和教师科研能力提升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10-11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张莲（北京外国语大学）等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书写与书法教学与鉴赏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17-18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欧阳中石、欧阳启明（首都师范大学）等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3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专题：慕课理论与实战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17-18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王胜清、冯雪松（北京大学）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3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专题：能力导向的大学有效课堂教学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24-25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余文森（福建师范大学）等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3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  <w:highlight w:val="yellow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会计学基础课程教学培训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24-25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  <w:tc>
          <w:tcPr>
            <w:tcW w:w="283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陈艳利（东北财经大学）等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1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专题：应用型院校教学改革的探索与教育理念的国际视野</w:t>
            </w: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31-11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托马斯</w:t>
            </w:r>
            <w:r>
              <w:rPr>
                <w:rFonts w:hint="eastAsia" w:ascii="宋体" w:hAnsi="Arial Unicode MS" w:eastAsia="Arial Unicode MS" w:cs="Arial Unicode MS"/>
                <w:color w:val="000000"/>
                <w:kern w:val="0"/>
              </w:rPr>
              <w:t>▪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胡格（德）、夏建国（上海电机学院）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6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专题：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翻译理论与实践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31-11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刘世聪（南开大学）、王展鹏（北京外国语大学）等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专题：高校青年教师职业规划与健康成长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7-8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刘平青（北京理工大学）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7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概率论课程教学培训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7-8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何书元（首都师范大学）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7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  <w:highlight w:val="yellow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应用型院校管理学课程教学培训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14-15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单凤儒（渤海大学）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5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应用型院校电路基础课程教学培训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14-15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  <w:tc>
          <w:tcPr>
            <w:tcW w:w="283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石生（太原电力高等专科学校）</w:t>
            </w:r>
          </w:p>
        </w:tc>
        <w:tc>
          <w:tcPr>
            <w:tcW w:w="114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专题：大数据的应用、挑战与应对策略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21-22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谢邦昌（台湾辅仁大学）、朱建平（厦门大学）等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PBL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在机电工程专业教学中的应用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21-22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王玉（同济大学）等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高校教师必备教学技能与案例研讨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28-29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邢红军（首都师范大学）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生态学课程教学培训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28-29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曹凑贵（华中农业大学）等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高等数学课程教学培训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5-6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朱士信（合肥工业大学）等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现代汉语课程教学培训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5-6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沈阳、郭锐、万艺玲、朱彦（北京大学）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物流学课程教学培训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12-13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邬跃、张旭风（北京物资学院）等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ind w:right="113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应用型院校电子商务概论课程教学培训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12-13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宋文官（上海商学院）等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</w:rPr>
              <w:t>高校人事管理与教师发展工作高级研修班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</w:rPr>
              <w:t>10</w:t>
            </w:r>
            <w:r>
              <w:rPr>
                <w:rFonts w:hint="eastAsia" w:ascii="宋体" w:hAnsi="宋体" w:cs="宋体"/>
              </w:rPr>
              <w:t>月中下旬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罗双平（中国人事科学研究院）等</w:t>
            </w:r>
          </w:p>
        </w:tc>
        <w:tc>
          <w:tcPr>
            <w:tcW w:w="1140" w:type="dxa"/>
            <w:vAlign w:val="center"/>
          </w:tcPr>
          <w:p>
            <w:pPr>
              <w:ind w:left="113" w:right="113"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  <w:r>
              <w:rPr>
                <w:rFonts w:hint="eastAsia" w:ascii="汉仪仿宋简" w:hAnsi="华文中宋" w:eastAsia="汉仪仿宋简" w:cs="汉仪仿宋简"/>
                <w:color w:val="000000"/>
                <w:kern w:val="0"/>
              </w:rPr>
              <w:t>北京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3259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财政学专业暑期师资培训班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7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19-23</w:t>
            </w:r>
            <w:r>
              <w:rPr>
                <w:rFonts w:hint="eastAsia" w:ascii="宋体" w:hAnsi="宋体" w:cs="宋体"/>
              </w:rPr>
              <w:t>日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樊丽明（上海财经大学）等</w:t>
            </w:r>
          </w:p>
        </w:tc>
        <w:tc>
          <w:tcPr>
            <w:tcW w:w="1140" w:type="dxa"/>
            <w:vAlign w:val="center"/>
          </w:tcPr>
          <w:p>
            <w:pPr>
              <w:ind w:left="113" w:right="113"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  <w:r>
              <w:rPr>
                <w:rFonts w:hint="eastAsia" w:ascii="汉仪仿宋简" w:hAnsi="华文中宋" w:eastAsia="汉仪仿宋简" w:cs="汉仪仿宋简"/>
                <w:color w:val="000000"/>
                <w:kern w:val="0"/>
              </w:rPr>
              <w:t>南昌</w:t>
            </w:r>
          </w:p>
        </w:tc>
      </w:tr>
    </w:tbl>
    <w:p>
      <w:pPr>
        <w:rPr>
          <w:rFonts w:ascii="汉仪仿宋简" w:eastAsia="汉仪仿宋简" w:cs="Times New Roman"/>
        </w:rPr>
      </w:pPr>
    </w:p>
    <w:p>
      <w:pPr>
        <w:rPr>
          <w:rFonts w:ascii="汉仪仿宋简" w:eastAsia="汉仪仿宋简" w:cs="Times New Roman"/>
        </w:rPr>
      </w:pPr>
    </w:p>
    <w:p>
      <w:pPr>
        <w:rPr>
          <w:rFonts w:ascii="汉仪仿宋简" w:eastAsia="汉仪仿宋简" w:cs="Times New Roman"/>
        </w:rPr>
        <w:sectPr>
          <w:headerReference r:id="rId4" w:type="default"/>
          <w:footerReference r:id="rId5" w:type="default"/>
          <w:pgSz w:w="11906" w:h="16838"/>
          <w:pgMar w:top="1134" w:right="1474" w:bottom="737" w:left="1474" w:header="851" w:footer="992" w:gutter="0"/>
          <w:cols w:space="720" w:num="1"/>
          <w:titlePg/>
          <w:docGrid w:type="linesAndChars" w:linePitch="312" w:charSpace="0"/>
        </w:sectPr>
      </w:pPr>
    </w:p>
    <w:p>
      <w:pPr>
        <w:widowControl/>
        <w:jc w:val="left"/>
        <w:rPr>
          <w:rFonts w:ascii="仿宋_GB2312" w:hAnsi="华文宋体" w:eastAsia="仿宋_GB2312" w:cs="Times New Roman"/>
          <w:sz w:val="30"/>
          <w:szCs w:val="30"/>
        </w:rPr>
      </w:pPr>
      <w:r>
        <w:rPr>
          <w:rFonts w:hint="eastAsia" w:ascii="仿宋_GB2312" w:hAnsi="华文宋体" w:eastAsia="仿宋_GB2312" w:cs="仿宋_GB2312"/>
          <w:sz w:val="30"/>
          <w:szCs w:val="30"/>
        </w:rPr>
        <w:t>附件</w:t>
      </w:r>
      <w:r>
        <w:rPr>
          <w:rFonts w:ascii="仿宋_GB2312" w:hAnsi="华文宋体" w:eastAsia="仿宋_GB2312" w:cs="仿宋_GB2312"/>
          <w:sz w:val="30"/>
          <w:szCs w:val="30"/>
        </w:rPr>
        <w:t xml:space="preserve">2  </w:t>
      </w:r>
    </w:p>
    <w:p>
      <w:pPr>
        <w:widowControl/>
        <w:jc w:val="center"/>
        <w:rPr>
          <w:rFonts w:ascii="宋体" w:cs="Times New Roman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2014</w:t>
      </w:r>
      <w:r>
        <w:rPr>
          <w:rFonts w:hint="eastAsia" w:ascii="宋体" w:hAnsi="宋体" w:cs="宋体"/>
          <w:b/>
          <w:bCs/>
          <w:sz w:val="30"/>
          <w:szCs w:val="30"/>
        </w:rPr>
        <w:t>年下半年网络直播培训课程</w:t>
      </w:r>
    </w:p>
    <w:tbl>
      <w:tblPr>
        <w:tblStyle w:val="11"/>
        <w:tblW w:w="8928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108" w:type="dxa"/>
          <w:right w:w="108" w:type="dxa"/>
        </w:tblCellMar>
      </w:tblPr>
      <w:tblGrid>
        <w:gridCol w:w="820"/>
        <w:gridCol w:w="4253"/>
        <w:gridCol w:w="2603"/>
        <w:gridCol w:w="12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2" w:hRule="atLeast"/>
        </w:trPr>
        <w:tc>
          <w:tcPr>
            <w:tcW w:w="82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主讲教师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500" w:lineRule="exact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培训地点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9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管理学课程教学培训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邢以群（浙江大学）</w:t>
            </w:r>
          </w:p>
        </w:tc>
        <w:tc>
          <w:tcPr>
            <w:tcW w:w="1252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  <w:r>
              <w:rPr>
                <w:rFonts w:ascii="汉仪仿宋简" w:hAnsi="华文中宋" w:eastAsia="汉仪仿宋简" w:cs="汉仪仿宋简"/>
                <w:color w:val="000000"/>
                <w:kern w:val="0"/>
              </w:rPr>
              <w:t xml:space="preserve">       </w:t>
            </w:r>
            <w:r>
              <w:rPr>
                <w:rFonts w:hint="eastAsia" w:ascii="汉仪仿宋简" w:hAnsi="华文中宋" w:eastAsia="汉仪仿宋简" w:cs="汉仪仿宋简"/>
                <w:color w:val="000000"/>
                <w:kern w:val="0"/>
              </w:rPr>
              <w:t>各高校教师任选地点，自主参加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9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中外工艺美术史课程教学培训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张夫也、尚刚（清华大学）</w:t>
            </w:r>
          </w:p>
        </w:tc>
        <w:tc>
          <w:tcPr>
            <w:tcW w:w="1252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幼儿园教育活动设计与实施课程教学培训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朱家雄（华东师范大学）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基于计算思维的大学计算机基础课程教学改革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战德臣（哈尔滨工业大学）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发酵工程课程教学培训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张嗣良（华东理工大学）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循证医学课程教学培训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李幼平（四川大学）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劳动与社会保障法课程教学培训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常凯（中国人民大学）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标准化工程课程教学培训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李丹青（中国计量学院）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电子信息专业概论课程教学培训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黄载禄（华中科技大学）、闫连山（西南交通大学）等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文学写作教程课程教学培训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刘海涛（湛江师范学院）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世纪西方文学课程教学培训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刘建军（东北师范大学）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公共部门危机管理课程教学培训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彭宗超（清华大学）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企业战略管理课程教学培训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韩伯棠（北京理工大学）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英国文学史课程教学培训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曹进（西北师范大学）等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逻辑学课程教学培训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何向东（西南大学）等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专题：课堂教学的十大误区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李芒（北京师范大学）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法理学课程教学培训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郑成良（上海交通大学）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中级财务会计课程教学培训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张俊民（天津财经大学）、路国平（南京审计学院）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物流与供应链管理课程教学培训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霍佳震</w:t>
            </w:r>
            <w:r>
              <w:rPr>
                <w:rFonts w:ascii="宋体" w:hAnsi="宋体" w:cs="宋体"/>
                <w:color w:val="000000"/>
                <w:kern w:val="0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同济大学</w:t>
            </w:r>
            <w:r>
              <w:rPr>
                <w:rFonts w:ascii="宋体" w:hAnsi="宋体" w:cs="宋体"/>
                <w:color w:val="000000"/>
                <w:kern w:val="0"/>
              </w:rPr>
              <w:t>)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企业战略管理课程教学培训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孟宪忠</w:t>
            </w:r>
            <w:r>
              <w:rPr>
                <w:rFonts w:ascii="宋体" w:hAnsi="宋体" w:cs="宋体"/>
                <w:color w:val="000000"/>
                <w:kern w:val="0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上海交通大学</w:t>
            </w:r>
            <w:r>
              <w:rPr>
                <w:rFonts w:ascii="宋体" w:hAnsi="宋体" w:cs="宋体"/>
                <w:color w:val="000000"/>
                <w:kern w:val="0"/>
              </w:rPr>
              <w:t>)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对外汉语教学理论与实践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Style w:val="8"/>
                <w:rFonts w:hint="eastAsia" w:ascii="宋体" w:hAnsi="宋体" w:cs="宋体"/>
                <w:b w:val="0"/>
                <w:bCs w:val="0"/>
              </w:rPr>
              <w:t>李禄兴、傅由（中国人民大学）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数字电子技术（应用型院校）课程教学培训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王连英（江西现代职业技术学院）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高等数学（应用型院校）课程教学培训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侯风波（承德石油高等专科学校）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24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JAVA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程序设计课程教学培训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翁凯（浙江大学）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25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高等教育心理学课程教学培训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伍新春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(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北京师范大学</w:t>
            </w:r>
            <w:r>
              <w:rPr>
                <w:rFonts w:ascii="宋体" w:hAnsi="宋体" w:cs="宋体"/>
                <w:color w:val="000000"/>
                <w:kern w:val="0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26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教育研究方法课程教学培训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孙杰远（广西师范大学）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27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教师专业发展课程教学培训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刘义兵（西南大学）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教育技术天地</w:t>
            </w:r>
            <w:r>
              <w:rPr>
                <w:rFonts w:ascii="宋体" w:hAnsi="宋体" w:cs="宋体"/>
                <w:color w:val="000000"/>
                <w:kern w:val="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你所不知道的</w:t>
            </w:r>
            <w:r>
              <w:rPr>
                <w:rFonts w:ascii="宋体" w:hAnsi="宋体" w:cs="宋体"/>
                <w:color w:val="000000"/>
                <w:kern w:val="0"/>
              </w:rPr>
              <w:t>Word</w:t>
            </w:r>
          </w:p>
        </w:tc>
        <w:tc>
          <w:tcPr>
            <w:tcW w:w="2603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裴纯礼（北京师范大学）</w:t>
            </w: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</w:tbl>
    <w:p>
      <w:pPr>
        <w:widowControl/>
        <w:spacing w:line="380" w:lineRule="exact"/>
        <w:jc w:val="center"/>
        <w:rPr>
          <w:rFonts w:ascii="汉仪仿宋简" w:hAnsi="华文宋体" w:eastAsia="汉仪仿宋简" w:cs="Times New Roman"/>
          <w:b/>
          <w:bCs/>
          <w:sz w:val="28"/>
          <w:szCs w:val="28"/>
        </w:rPr>
      </w:pPr>
    </w:p>
    <w:p>
      <w:pPr>
        <w:widowControl/>
        <w:spacing w:line="380" w:lineRule="exact"/>
        <w:rPr>
          <w:rFonts w:ascii="汉仪仿宋简" w:hAnsi="华文宋体" w:eastAsia="汉仪仿宋简" w:cs="Times New Roman"/>
          <w:b/>
          <w:bCs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汉仪仿宋简" w:hAnsi="华文宋体" w:eastAsia="汉仪仿宋简" w:cs="Times New Roman"/>
          <w:b/>
          <w:bCs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汉仪仿宋简" w:hAnsi="华文宋体" w:eastAsia="汉仪仿宋简" w:cs="Times New Roman"/>
          <w:b/>
          <w:bCs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汉仪仿宋简" w:hAnsi="华文宋体" w:eastAsia="汉仪仿宋简" w:cs="Times New Roman"/>
          <w:b/>
          <w:bCs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汉仪仿宋简" w:hAnsi="华文宋体" w:eastAsia="汉仪仿宋简" w:cs="Times New Roman"/>
          <w:b/>
          <w:bCs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汉仪仿宋简" w:hAnsi="华文宋体" w:eastAsia="汉仪仿宋简" w:cs="Times New Roman"/>
          <w:b/>
          <w:bCs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汉仪仿宋简" w:hAnsi="华文宋体" w:eastAsia="汉仪仿宋简" w:cs="Times New Roman"/>
          <w:b/>
          <w:bCs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汉仪仿宋简" w:hAnsi="华文宋体" w:eastAsia="汉仪仿宋简" w:cs="Times New Roman"/>
          <w:b/>
          <w:bCs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汉仪仿宋简" w:hAnsi="华文宋体" w:eastAsia="汉仪仿宋简" w:cs="Times New Roman"/>
          <w:b/>
          <w:bCs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汉仪仿宋简" w:hAnsi="华文宋体" w:eastAsia="汉仪仿宋简" w:cs="Times New Roman"/>
          <w:b/>
          <w:bCs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汉仪仿宋简" w:hAnsi="华文宋体" w:eastAsia="汉仪仿宋简" w:cs="Times New Roman"/>
          <w:b/>
          <w:bCs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汉仪仿宋简" w:hAnsi="华文宋体" w:eastAsia="汉仪仿宋简" w:cs="Times New Roman"/>
          <w:b/>
          <w:bCs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汉仪仿宋简" w:hAnsi="华文宋体" w:eastAsia="汉仪仿宋简" w:cs="Times New Roman"/>
          <w:b/>
          <w:bCs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汉仪仿宋简" w:hAnsi="华文宋体" w:eastAsia="汉仪仿宋简" w:cs="Times New Roman"/>
          <w:b/>
          <w:bCs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汉仪仿宋简" w:hAnsi="华文宋体" w:eastAsia="汉仪仿宋简" w:cs="Times New Roman"/>
          <w:b/>
          <w:bCs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汉仪仿宋简" w:hAnsi="华文宋体" w:eastAsia="汉仪仿宋简" w:cs="Times New Roman"/>
          <w:b/>
          <w:bCs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汉仪仿宋简" w:hAnsi="华文宋体" w:eastAsia="汉仪仿宋简" w:cs="Times New Roman"/>
          <w:b/>
          <w:bCs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汉仪仿宋简" w:hAnsi="华文宋体" w:eastAsia="汉仪仿宋简" w:cs="Times New Roman"/>
          <w:b/>
          <w:bCs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汉仪仿宋简" w:hAnsi="华文宋体" w:eastAsia="汉仪仿宋简" w:cs="Times New Roman"/>
          <w:b/>
          <w:bCs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汉仪仿宋简" w:hAnsi="华文宋体" w:eastAsia="汉仪仿宋简" w:cs="Times New Roman"/>
          <w:b/>
          <w:bCs/>
          <w:sz w:val="28"/>
          <w:szCs w:val="28"/>
        </w:rPr>
      </w:pPr>
    </w:p>
    <w:p>
      <w:pPr>
        <w:widowControl/>
        <w:jc w:val="left"/>
        <w:rPr>
          <w:rFonts w:ascii="仿宋_GB2312" w:hAnsi="华文宋体" w:eastAsia="仿宋_GB2312" w:cs="Times New Roman"/>
          <w:sz w:val="30"/>
          <w:szCs w:val="30"/>
        </w:rPr>
      </w:pPr>
      <w:r>
        <w:rPr>
          <w:rFonts w:hint="eastAsia" w:ascii="仿宋_GB2312" w:hAnsi="华文宋体" w:eastAsia="仿宋_GB2312" w:cs="仿宋_GB2312"/>
          <w:sz w:val="30"/>
          <w:szCs w:val="30"/>
        </w:rPr>
        <w:t>附件</w:t>
      </w:r>
      <w:r>
        <w:rPr>
          <w:rFonts w:ascii="仿宋_GB2312" w:hAnsi="华文宋体" w:eastAsia="仿宋_GB2312" w:cs="仿宋_GB2312"/>
          <w:sz w:val="30"/>
          <w:szCs w:val="30"/>
        </w:rPr>
        <w:t>3</w:t>
      </w:r>
    </w:p>
    <w:p>
      <w:pPr>
        <w:widowControl/>
        <w:spacing w:line="380" w:lineRule="exact"/>
        <w:jc w:val="center"/>
        <w:rPr>
          <w:rFonts w:ascii="宋体" w:cs="Times New Roman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2014</w:t>
      </w:r>
      <w:r>
        <w:rPr>
          <w:rFonts w:hint="eastAsia" w:ascii="宋体" w:hAnsi="宋体" w:cs="宋体"/>
          <w:b/>
          <w:bCs/>
          <w:sz w:val="30"/>
          <w:szCs w:val="30"/>
        </w:rPr>
        <w:t>年下半年在线培训课程</w:t>
      </w:r>
    </w:p>
    <w:tbl>
      <w:tblPr>
        <w:tblStyle w:val="11"/>
        <w:tblW w:w="847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3261"/>
        <w:gridCol w:w="708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500" w:lineRule="exact"/>
              <w:ind w:firstLine="843" w:firstLineChars="400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培训课程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0" w:hRule="atLeast"/>
        </w:trPr>
        <w:tc>
          <w:tcPr>
            <w:tcW w:w="8472" w:type="dxa"/>
            <w:gridSpan w:val="4"/>
            <w:vAlign w:val="center"/>
          </w:tcPr>
          <w:p>
            <w:pPr>
              <w:widowControl/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汉仪仿宋简" w:hAnsi="华文中宋" w:eastAsia="汉仪仿宋简" w:cs="汉仪仿宋简"/>
                <w:b/>
                <w:bCs/>
                <w:color w:val="000000"/>
                <w:kern w:val="0"/>
              </w:rPr>
              <w:t>网培公开课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演讲与口才（姚小玲）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现代礼仪（袁涤非）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艺术概论（王一川）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财务管理学（王化成）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现代控制工程（王万良）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数字信号处理（彭启琮）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线性代数（李尚志）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无机化学（宋天佑、徐佳宁、孟长功）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计算机科学与技术类专业建设与创新人才培养（蒋宗礼、高林、陈道蓄、董吉文）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高校教师教学艺术（理工）</w:t>
            </w:r>
          </w:p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（顾沛、邹逢兴、吴鹿鸣、郑用琏）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0" w:hRule="atLeast"/>
        </w:trPr>
        <w:tc>
          <w:tcPr>
            <w:tcW w:w="8472" w:type="dxa"/>
            <w:gridSpan w:val="4"/>
            <w:vAlign w:val="center"/>
          </w:tcPr>
          <w:p>
            <w:pPr>
              <w:widowControl/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汉仪仿宋简" w:hAnsi="华文中宋" w:eastAsia="汉仪仿宋简" w:cs="汉仪仿宋简"/>
                <w:b/>
                <w:bCs/>
                <w:color w:val="000000"/>
                <w:kern w:val="0"/>
              </w:rPr>
              <w:t>网培公开选修专题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课件及其制作技巧（裴纯礼）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382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青年教师的职业病与常见病的预防及保健（李洪茲）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导师，你应该教给学生什么（叶志明）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382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让课堂充满激情、智慧和欢乐</w:t>
            </w:r>
            <w:r>
              <w:rPr>
                <w:rFonts w:ascii="宋体" w:hAnsi="宋体" w:cs="宋体"/>
                <w:color w:val="000000"/>
                <w:kern w:val="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谈教学方法与教学艺术（张学政）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6" w:hRule="atLeast"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大学课堂教学方法与艺术（李芒）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382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教师身心健康与压力管理（刘破资）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怎样成长为一名优秀的大学教师（马知恩）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382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课堂教学中的沟通技巧（赵振宇）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当代大学生心理特点及教育策略（赵丽琴）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382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教师应该读点儿文学史（韩田鹿）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人格与国性</w:t>
            </w:r>
            <w:r>
              <w:rPr>
                <w:rFonts w:ascii="宋体" w:hAnsi="宋体" w:cs="宋体"/>
                <w:color w:val="000000"/>
                <w:kern w:val="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大学生素质教育的两大主题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（彭林）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382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大学生喜爱什么样的老师（郑曙光）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用礼仪打造教师魅力形象（袁涤非）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24</w:t>
            </w:r>
          </w:p>
        </w:tc>
        <w:tc>
          <w:tcPr>
            <w:tcW w:w="382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教师形象设计与公共礼仪（徐莉）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25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如何讲好一门课（姚小玲）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26</w:t>
            </w:r>
          </w:p>
        </w:tc>
        <w:tc>
          <w:tcPr>
            <w:tcW w:w="382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和谐交往从心理沟通开始（蔺桂瑞）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27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青年教师专业发展的路径与策略（张斌贤）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382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如何指导学生做科研（陈跃雪）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29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大学教师需要学点“课程论”和“教学论”（别敦荣）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</w:t>
            </w:r>
          </w:p>
        </w:tc>
        <w:tc>
          <w:tcPr>
            <w:tcW w:w="382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把提高教育研究质量上升为国家战略（曾天山）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31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把教学当做一门艺术（顾沛）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32</w:t>
            </w:r>
          </w:p>
        </w:tc>
        <w:tc>
          <w:tcPr>
            <w:tcW w:w="382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如何在各类科研基金课题申报中取得成功（赵醒村）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33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教学法与教学策略（孙建荣）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</w:t>
            </w:r>
          </w:p>
        </w:tc>
        <w:tc>
          <w:tcPr>
            <w:tcW w:w="382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如何保持高校教师的心理健康（胡佩诚）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如何支撑学生有效建立适合自己的大学学习模式（李丹青）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教学论的核心理念及其应用操作的基本程序（皮连生）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教学相长与为人师表（王汉杰）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高校教师的养生智慧（贺娟）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高校科研创新与制度保障（马陆亭）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史学经典与人文修养（瞿林东）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0" w:hRule="atLeast"/>
        </w:trPr>
        <w:tc>
          <w:tcPr>
            <w:tcW w:w="8472" w:type="dxa"/>
            <w:gridSpan w:val="4"/>
            <w:vAlign w:val="center"/>
          </w:tcPr>
          <w:p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>
              <w:rPr>
                <w:rFonts w:hint="eastAsia" w:ascii="汉仪仿宋简" w:hAnsi="华文中宋" w:eastAsia="汉仪仿宋简" w:cs="汉仪仿宋简"/>
                <w:b/>
                <w:bCs/>
                <w:color w:val="000000"/>
                <w:kern w:val="0"/>
              </w:rPr>
              <w:t>教育学类、体育学类、心理学类、艺术学类、文化素质教育类课程教学培训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教育学（但武刚、罗祖兵）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中国教育史（张传燧）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教育学原理（阮成武）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教学设计（皮连生）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教学理论与设计（盛群力）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</w:rPr>
              <w:t>教育技术学（张剑平）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教育心理学（刘儒德）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教育见习与实习指导（周跃良）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大学体育（张威）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运动生理学（刘洵）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大学体育（邢登江）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大学生心理健康（赵丽琴）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运动心理学（孙延林）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学前儿童健康教育（顾荣芳）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体育与健康（毛振明）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学前儿童游戏（杨枫）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中学生心理辅导（伍新春）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学前教育学（刘焱）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信息技术与课程整合（刘清堂、赵呈领）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远程教育原理与技术（黄荣怀）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心理学史（叶浩生）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fldChar w:fldCharType="begin"/>
            </w:r>
            <w:r>
              <w:instrText xml:space="preserve">HYPERLINK "http://www.enetedu.com/course_info.asp?nid=295" </w:instrText>
            </w:r>
            <w:r>
              <w:fldChar w:fldCharType="separate"/>
            </w:r>
            <w:r>
              <w:rPr>
                <w:rStyle w:val="10"/>
                <w:rFonts w:hint="eastAsia" w:ascii="宋体" w:hAnsi="宋体" w:cs="宋体"/>
                <w:color w:val="000000"/>
                <w:kern w:val="0"/>
                <w:u w:val="none"/>
              </w:rPr>
              <w:t>心理学研究方法</w:t>
            </w:r>
            <w: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</w:rPr>
              <w:t>（方平）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实验心理学（郭秀艳）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认知心理学（张亚旭）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管理心理学（李永鑫）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人格心理学（郭永玉）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心理统计学（胡竹菁）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心理测量（戴海琦）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心理咨询（江光荣）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军事理论（蔡仁照、李成安）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中国传统文化（蒋述卓）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设计素描（周至禹）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设计概论（陈汗青、李遊宇）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西方音乐史（余志刚、周耀群）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音乐教学论（陈玉丹）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小学生认知与学习（陈威）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5" w:hRule="atLeast"/>
        </w:trPr>
        <w:tc>
          <w:tcPr>
            <w:tcW w:w="8472" w:type="dxa"/>
            <w:gridSpan w:val="4"/>
            <w:vAlign w:val="center"/>
          </w:tcPr>
          <w:p>
            <w:pPr>
              <w:widowControl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  <w:r>
              <w:rPr>
                <w:rFonts w:hint="eastAsia" w:ascii="汉仪仿宋简" w:hAnsi="华文中宋" w:eastAsia="汉仪仿宋简" w:cs="汉仪仿宋简"/>
                <w:b/>
                <w:bCs/>
                <w:color w:val="000000"/>
                <w:kern w:val="0"/>
              </w:rPr>
              <w:t>经济学类课程教学培训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西方经济学（刘骏民）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产业经济学（王俊豪）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微观经济学（刘东）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宏观经济学（叶航）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计量经济学（李子奈）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工程经济（周礼、李正卫、虞晓芬）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国际经济学（黄春媛）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世界经济概论（周申）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流通经济学（洪涛）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中国近代经济史（马陵合）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政治经济学（刘灿、陈志舟）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区域经济学（张泰城、孙久文）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7" w:hRule="atLeast"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社会主义市场经济理论与实践（白永秀）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商业银行管理（李志辉）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金融学（张强）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国际金融学（杨胜刚）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金融工程学（吴冲锋）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国际金融学（范小云）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证券投资学（杨德勇、葛红玲、张伟、马若微、程悦）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金融投资学（胡金焱）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货币银行学（李健）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财政学（张馨）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投入产出分析（刘起运）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财务学原理（熊剑、樊莹）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外贸单证操作（章安平）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国际贸易实务（邹建华）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保险学（王绪瑾、栾红、徐徐、宁威）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国际贸易（杨盛标、刘文华）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国际保险（刘玮）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中国税收（朱晓波）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0" w:hRule="atLeast"/>
        </w:trPr>
        <w:tc>
          <w:tcPr>
            <w:tcW w:w="8472" w:type="dxa"/>
            <w:gridSpan w:val="4"/>
            <w:vAlign w:val="center"/>
          </w:tcPr>
          <w:p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>
              <w:rPr>
                <w:rFonts w:hint="eastAsia" w:ascii="汉仪仿宋简" w:hAnsi="华文中宋" w:eastAsia="汉仪仿宋简" w:cs="汉仪仿宋简"/>
                <w:b/>
                <w:bCs/>
                <w:color w:val="000000"/>
                <w:kern w:val="0"/>
              </w:rPr>
              <w:t>中国语言文学类、外国语言文学类、新闻传播学类、历史学类课程教学培训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大学语文（陈洪、李瑞山）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大学语文（王步高）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应用写作（胡元德、冒志祥）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写作（董小玉）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古代汉语（王宁）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写作（高职）（尹相如）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古代汉语（洪波）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语言学（张先亮、聂志平、陈青松）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当代语言学（陈保亚）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中国现当代文学史（朱栋霖）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文学理论（陶东风）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中国文学批评史（黄霖）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中国古代文学史（郭英德）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中国古代文学作品选（先秦</w:t>
            </w:r>
            <w:r>
              <w:rPr>
                <w:rFonts w:ascii="宋体" w:cs="宋体"/>
                <w:color w:val="000000"/>
                <w:kern w:val="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六朝）（郭丹）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中国古代文学史（骆玉明）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比较文学（曹顺庆）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外国文学史（刘洪涛）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中国戏曲史（孙书磊）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比较文学与外国文学史（孙景尧）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</w:rPr>
              <w:t>秘书学概论（杨剑宇、杨树森、徐丽君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秘书实务（杨剑宇）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秘书实训（杨剑宇）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中国秘书史（杨剑宇）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秘书公关与礼仪</w:t>
            </w:r>
          </w:p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（杨剑宇、李玉梅、蒋苏苓）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文书学（倪丽娟）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大学英语（李霄翔、陈美华、郭锋萍）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英语语音（王桂珍）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综合英语（邹为诚、梁晓冬、林渭芳）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英语词汇学（张维友）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英语写作（杨达复、黑玉琴、胡小华、郭粉绒）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高级英语（颜静兰）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英汉口译（任文、胡敏霞）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高校教师日语教学能力提升（曹大峰）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基础日语（蔡全胜）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1" w:hRule="atLeast"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中国新闻传播史（李彬）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新闻学（张征、陈力丹）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9" w:hRule="atLeast"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外国新闻传播史（张昆）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传播学（胡正荣）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广告学概论（陈培爱、张金海）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新闻采访写作（张征）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数字传播技术应用（彭兰）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品牌学（赵琛）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动画影片制作（屠曙光）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图片摄影（胡巍萍）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动画专业创作与教学</w:t>
            </w:r>
          </w:p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</w:t>
            </w:r>
            <w:r>
              <w:rPr>
                <w:rFonts w:ascii="宋体" w:hAnsi="宋体" w:cs="宋体"/>
                <w:kern w:val="0"/>
              </w:rPr>
              <w:t>Becky Bristow</w:t>
            </w:r>
            <w:r>
              <w:rPr>
                <w:rFonts w:hint="eastAsia" w:ascii="宋体" w:hAnsi="宋体" w:cs="宋体"/>
                <w:kern w:val="0"/>
              </w:rPr>
              <w:t>、李杰）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西方文化概论（赵林）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美学（王德胜、邹华）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史学概论（庞卓恒）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中国古代史（赵毅、李玉君、田广林）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中华人民共和国史（张同乐）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157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世界古代史（杨共乐）</w:t>
            </w:r>
          </w:p>
        </w:tc>
        <w:tc>
          <w:tcPr>
            <w:tcW w:w="70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西方文明史（陈永国）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159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二十世纪世界史（郑寅达）</w:t>
            </w:r>
          </w:p>
        </w:tc>
        <w:tc>
          <w:tcPr>
            <w:tcW w:w="708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0" w:hRule="atLeast"/>
        </w:trPr>
        <w:tc>
          <w:tcPr>
            <w:tcW w:w="8472" w:type="dxa"/>
            <w:gridSpan w:val="4"/>
            <w:vAlign w:val="center"/>
          </w:tcPr>
          <w:p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>
              <w:rPr>
                <w:rFonts w:hint="eastAsia" w:ascii="汉仪仿宋简" w:hAnsi="华文中宋" w:eastAsia="汉仪仿宋简" w:cs="汉仪仿宋简"/>
                <w:b/>
                <w:bCs/>
                <w:color w:val="000000"/>
                <w:kern w:val="0"/>
              </w:rPr>
              <w:t>管理学类课程教学培训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基础会计（沃健）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161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中级财务会计（杨有红）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162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基础会计（宋献中）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163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企业会计学（赵惠芳）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164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高级财务会计（刘峰、杨有红、毛新述）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管理会计（吴大军）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财务分析（张先治）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财务报表分析（张新民）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会计信息系统（艾文国）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169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筹资实务（楼土明）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资产评估（刘东辉）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171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审计学（陈汉文）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172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管理学（郑文全、李品媛）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173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项目管理学（戚安邦）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174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战略管理（陈志军）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管理信息系统（黄丽华）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管理沟通学（赵振宇）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决策理论与方法（陶长琪）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公司治理（李维安）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179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创业管理（吴昌南、梅小安）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180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运筹学（管理）（戎晓霞）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181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生产运作管理（马士华）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182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行政管理学（陈瑞莲）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183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组织行为学（段万春）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184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公共关系（陈先红）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185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战略人力资源管理（王建民）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186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人力资源管理（廖建桥）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187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薪酬管理（王长城）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188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人力资源开发与管理（章海鸥）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189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市场营销学（吕一林）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190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职务管理（刘俊振）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191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营销风险管理（张云起）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192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营销策划（朱美燕）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193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电子商务概论（李琪）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194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网络营销实务（方玲玉）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195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电子金融（陈进）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196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电子商务实务（胡华江）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197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企业资源规划实践（陈冰）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198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电子商务系统结构与应用（陈德人）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199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</w:rPr>
              <w:t>物流信息技术与应用（刘德军）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企业物流管理（黄福华）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201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导游实务（邓德智）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202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现代服装工程管理（冯旭敏、温平则）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203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旅游学概论（马勇）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204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前厅运行与管理（吴玲）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现代物流管理（李严锋、冉文学）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化工企业管理实务（梁清山）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物流管理（甘筱青、朱道立）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8" w:hRule="atLeast"/>
        </w:trPr>
        <w:tc>
          <w:tcPr>
            <w:tcW w:w="8472" w:type="dxa"/>
            <w:gridSpan w:val="4"/>
            <w:vAlign w:val="center"/>
          </w:tcPr>
          <w:p>
            <w:pPr>
              <w:widowControl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  <w:r>
              <w:rPr>
                <w:rFonts w:hint="eastAsia" w:ascii="汉仪仿宋简" w:hAnsi="华文中宋" w:eastAsia="汉仪仿宋简" w:cs="汉仪仿宋简"/>
                <w:b/>
                <w:bCs/>
                <w:color w:val="000000"/>
                <w:kern w:val="0"/>
              </w:rPr>
              <w:t>法学类、政治学类、社会学类、哲学类课程教学培训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商法学（赵旭东）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209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民法学（房绍坤）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210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宪法学（焦洪昌、姚国建）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211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经济法（郑曙光）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212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刑法学（孙国祥）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213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刑事诉讼法（刘玫）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214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国际法（周忠海）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215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中国法制史（张晋藩）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216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知识产权法学（魏纪林）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217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国际环境法（林灿铃）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218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国际私法（刘仁山）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219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中国政治思想史（葛荃）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220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当代中国政治制度（浦兴祖）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221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比较政治制度（谭融）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222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发展政治学（杨龙）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223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社会学研究方法（徐晓军）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224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社会学概论（王思斌）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225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形式逻辑（毕富生）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5" w:hRule="atLeast"/>
        </w:trPr>
        <w:tc>
          <w:tcPr>
            <w:tcW w:w="8472" w:type="dxa"/>
            <w:gridSpan w:val="4"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汉仪仿宋简" w:hAnsi="华文中宋" w:eastAsia="汉仪仿宋简" w:cs="汉仪仿宋简"/>
                <w:b/>
                <w:bCs/>
                <w:color w:val="000000"/>
                <w:kern w:val="0"/>
              </w:rPr>
              <w:t>数学类、统计学类课程教学培训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226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高等数学（郭镜明）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227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高等代数（张贤科）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228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高等数学（新建应用型本科院校）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229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微积分理论基础（王绵森、马知恩）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230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偏微分方程（宁吴庆）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231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多元函数微积分学（王绵森、马知恩）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232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线性代数与解析几何（李继成）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233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线性代数（游宏）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234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抽象代数（顾沛）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235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数学建模（黄廷祝）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236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经济数学（吴传生）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237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数学分析（陈纪修）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238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数学实验与数学建模（李继成）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239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数理统计（何书元）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240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数学建模与数学实验（朱道元）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241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实变函数论（刘培德）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242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数理方程（李元杰数字教学示范）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243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一元函数微积分学与无穷级数</w:t>
            </w:r>
            <w:r>
              <w:rPr>
                <w:rFonts w:ascii="宋体" w:cs="Times New Roman"/>
                <w:color w:val="000000"/>
                <w:kern w:val="0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</w:rPr>
              <w:t>（马知恩、李换琴）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244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复变函数（王绵森）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245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数值分析（韩旭里）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246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离散数学（屈婉玲）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247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运筹学（梅国平）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248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概率与统计（杨孝平）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249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统计学导论（李勇）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250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统计学（经济管理方向）（曾五一、朱建平）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0" w:hRule="atLeast"/>
        </w:trPr>
        <w:tc>
          <w:tcPr>
            <w:tcW w:w="8472" w:type="dxa"/>
            <w:gridSpan w:val="4"/>
            <w:vAlign w:val="center"/>
          </w:tcPr>
          <w:p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>
              <w:rPr>
                <w:rFonts w:hint="eastAsia" w:ascii="汉仪仿宋简" w:hAnsi="华文中宋" w:eastAsia="汉仪仿宋简" w:cs="汉仪仿宋简"/>
                <w:b/>
                <w:bCs/>
                <w:color w:val="000000"/>
                <w:kern w:val="0"/>
              </w:rPr>
              <w:t>物理学类课程教学培训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251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大学物理（高景）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252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大学物理（李元杰数字教学示范）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253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大学物理实验（霍剑青）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254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力学（张汉壮）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255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热学（秦允豪）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256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光学（蔡履中）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257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电磁学（王稼军）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258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数学物理方法（姚端正、吴崇试）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259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量子物理（王笑君）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260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量子力学（庄鹏飞）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261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电动力学（杨传路）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262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计算物理（彭芳麟）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263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物理与艺术（施大宁）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264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热力学统计物理（段文山）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0" w:hRule="atLeast"/>
        </w:trPr>
        <w:tc>
          <w:tcPr>
            <w:tcW w:w="8472" w:type="dxa"/>
            <w:gridSpan w:val="4"/>
            <w:vAlign w:val="center"/>
          </w:tcPr>
          <w:p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>
              <w:rPr>
                <w:rFonts w:hint="eastAsia" w:ascii="汉仪仿宋简" w:hAnsi="华文中宋" w:eastAsia="汉仪仿宋简" w:cs="汉仪仿宋简"/>
                <w:b/>
                <w:bCs/>
                <w:color w:val="000000"/>
                <w:kern w:val="0"/>
              </w:rPr>
              <w:t>化学类课程教学培训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265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大学化学（强亮生）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266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基础化学（陈恒武、杨宏孝、高占先、张丽丹）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267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大学化学实验（张丽丹）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268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无机化学（孟长功、宋天佑、徐家宁）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269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普通化学（吴庆生）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270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分析化学及实验（刘志广）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271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有机化学及实验（高占先）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272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物理化学（黑恩成）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273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结构化学（孙宏伟）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274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高分子化学（李伯耿、罗英武、范宏）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275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环境化学（孙洪文）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0" w:hRule="atLeast"/>
        </w:trPr>
        <w:tc>
          <w:tcPr>
            <w:tcW w:w="8472" w:type="dxa"/>
            <w:gridSpan w:val="4"/>
            <w:vAlign w:val="center"/>
          </w:tcPr>
          <w:p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>
              <w:rPr>
                <w:rFonts w:hint="eastAsia" w:ascii="汉仪仿宋简" w:hAnsi="华文中宋" w:eastAsia="汉仪仿宋简" w:cs="汉仪仿宋简"/>
                <w:b/>
                <w:bCs/>
                <w:color w:val="000000"/>
                <w:kern w:val="0"/>
              </w:rPr>
              <w:t>计算机类、电气类、电子信息类、自动化类课程教学培训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276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大学计算机基础（龚沛曾）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277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计算机应用基础（刘艳丽）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278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Visual Basic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程序设计（龚沛曾）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279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语言程序设计（王宇颖）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280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C++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程序设计（钱能）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281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程序设计（吴文虎）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282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计算机网络（冯博琴）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283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计算机网络技术（面向应用性人才）</w:t>
            </w:r>
          </w:p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（施晓秋）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284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计算机网络（谢希仁、陈鸣）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285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数据库系统概论（王珊）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286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数据结构（陈越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287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数据库技术与应用（李雁翎）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288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数据结构（耿国华）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289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计算机组成原理（唐朔飞）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290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计算机系统结构（张晨曦）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291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计算机操作系统（刘乃琦）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292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计算机维修与维护（丁强华）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293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网络操作系统（卢勤）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294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软件工程（齐治昌）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295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软件需求工程（骆斌）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296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编译原理（蒋宗礼）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297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汇编语言（毛希平、曹忠升）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298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WEB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技术导论（郝兴伟）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299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计算机安全（韩臻）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人工智能控制（蔡自兴）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301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系统仿真与</w:t>
            </w:r>
            <w:r>
              <w:rPr>
                <w:rFonts w:ascii="宋体" w:hAnsi="宋体" w:cs="宋体"/>
                <w:color w:val="000000"/>
                <w:kern w:val="0"/>
              </w:rPr>
              <w:t>CAD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（薛定宇）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302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数字图像处理（杨淑莹）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303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微机接口技术（邹逢兴）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304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单片机原理（张毅刚、杨青勇）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电工学（史仪凯）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模拟电子线路基础（傅丰林）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数字电子技术（王连英）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电路（罗先觉）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309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集成电路制造技术概论（李惠军）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310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高频电子线路（曾兴雯）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311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数字逻辑与系统（侯建军）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2" w:hRule="atLeast"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312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自动控制原理（程鹏）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313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信号与系统（陈后金）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314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半导体器件物理与实验（孟庆巨）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315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通信原理（杨鸿文）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9" w:hRule="atLeast"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316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电气工程基础（尹项根）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317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电力电子技术（王兆安）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318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电机学（罗应立）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319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物联网概论（</w:t>
            </w:r>
            <w:r>
              <w:rPr>
                <w:rFonts w:hint="eastAsia" w:ascii="宋体" w:hAnsi="宋体" w:cs="宋体"/>
                <w:color w:val="000000"/>
              </w:rPr>
              <w:t>田景熙、陈志峰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320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电子信息类专业基础实验教学案例设计（陈后金、侯建军、胡仁杰等）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0" w:hRule="atLeast"/>
        </w:trPr>
        <w:tc>
          <w:tcPr>
            <w:tcW w:w="8472" w:type="dxa"/>
            <w:gridSpan w:val="4"/>
            <w:vAlign w:val="center"/>
          </w:tcPr>
          <w:p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>
              <w:rPr>
                <w:rFonts w:hint="eastAsia" w:ascii="汉仪仿宋简" w:hAnsi="华文中宋" w:eastAsia="汉仪仿宋简" w:cs="汉仪仿宋简"/>
                <w:b/>
                <w:bCs/>
                <w:color w:val="000000"/>
                <w:kern w:val="0"/>
              </w:rPr>
              <w:t>机械类、土木类、力学类、能源动力类、材料类、水利类、交通运输类课程教学培训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321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机械原理（葛文杰）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322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机械设计（吴鹿鸣）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323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机械制造技术基础（张世昌）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324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机械制造及实习（傅水根）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325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工程制图（陆国栋）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326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画法几何及工程制图（殷昌贵、王兰美）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327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机械零件常规加工（何七荣）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328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机械振动（刘习军）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329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汽车构造（罗永革、冯樱）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330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机床数控技术（游有鹏）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331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测量学（程效军）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332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土木工程概论（叶志明）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333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工程地质（白志勇）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334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建筑外立面设计（边颖）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335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水工建筑学（金峰）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336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建筑设计基础（吴桂宁、许自力）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337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水质工程学（韩洪军）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338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混凝土结构（沈蒲生、廖莎）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339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桥梁工程概论（李亚东、何畏）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材料力学（张少实）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土力学（李广信）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结构力学（朱慈勉）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理论力学（洪嘉振）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水力学（李玉柱、贺五洲）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弹性力学（王敏中、黄克服）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金属材料成形基础（陈拂晓）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流体力学（丁祖荣）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高分子物理学（吴其晔）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材料科学与工程基础（顾宜）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传热学（姜培学）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材料研究方法（许乾慰）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352</w:t>
            </w:r>
          </w:p>
        </w:tc>
        <w:tc>
          <w:tcPr>
            <w:tcW w:w="3828" w:type="dxa"/>
            <w:vAlign w:val="center"/>
          </w:tcPr>
          <w:p>
            <w:pPr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土木工程材料（苏达根）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水力学（王勤香）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0" w:hRule="atLeast"/>
        </w:trPr>
        <w:tc>
          <w:tcPr>
            <w:tcW w:w="8472" w:type="dxa"/>
            <w:gridSpan w:val="4"/>
            <w:vAlign w:val="center"/>
          </w:tcPr>
          <w:p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>
              <w:rPr>
                <w:rFonts w:hint="eastAsia" w:ascii="汉仪仿宋简" w:hAnsi="华文中宋" w:eastAsia="汉仪仿宋简" w:cs="汉仪仿宋简"/>
                <w:b/>
                <w:bCs/>
                <w:color w:val="000000"/>
                <w:kern w:val="0"/>
              </w:rPr>
              <w:t>医学、农学、化工与制药类、生物类课程教学培训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354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生理学（王庭槐）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病理学（文继舫、李景和）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组织学与解剖学（段相林）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医学心理学（胡佩诚）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护理学（娄凤兰）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359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基础药理学（张庆柱）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制药工程（姚日生）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361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药物化学（雷小平）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362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中药鉴定技术（刘来正）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363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康复护理学（陈立典、陈锦秀、刘芳）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364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局部解剖学（李振中）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细胞生物学（王金发）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微生物学（陈向东）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细胞工程（柳俊）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普通动物学（张雁云、宋杰）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369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普通生物学（佟向军）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370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动物生理学（肖向红）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371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动物生物学（许崇任）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372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植物生物学（邵小明）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373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植物保护学（叶恭银）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374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遗传学（植物类）（石春海、祝水金、柴明良、肖建福）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375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遗传学（乔守怡）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5" w:hRule="atLeast"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376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分子生物学（郑用琏）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377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生态学（邹建文）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2" w:hRule="atLeast"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378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生物分离工程（曹学君）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379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生物反应工程（贾士儒）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9" w:hRule="atLeast"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380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化工原理（贾绍义）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381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生物化学（杨荣武）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382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化工热力学（高光华）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383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化工设计（吴嘉）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384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基因工程（袁婺洲）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  <w:highlight w:val="yellow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385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生命科学导论（吴敏）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6" w:hRule="atLeast"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386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环境科学概论（刘静玲）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  <w:highlight w:val="yellow"/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6" w:hRule="atLeast"/>
        </w:trPr>
        <w:tc>
          <w:tcPr>
            <w:tcW w:w="8472" w:type="dxa"/>
            <w:gridSpan w:val="4"/>
            <w:vAlign w:val="center"/>
          </w:tcPr>
          <w:p>
            <w:pPr>
              <w:widowControl/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汉仪仿宋简" w:hAnsi="华文中宋" w:eastAsia="汉仪仿宋简" w:cs="汉仪仿宋简"/>
                <w:b/>
                <w:bCs/>
                <w:color w:val="000000"/>
                <w:kern w:val="0"/>
              </w:rPr>
              <w:t>应用型院校教学科研能力提升培训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387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</w:rPr>
              <w:t>会计专业教学改革与实践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388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</w:rPr>
              <w:t>公共英语教学与科研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389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</w:rPr>
              <w:t>电子信息类专业规范与课程改革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390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</w:rPr>
              <w:t>医药卫生类专业教学改革与课程建设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391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</w:rPr>
              <w:t>电子商务及物流专业教学改革与课程建设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392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</w:rPr>
              <w:t>制造类课程改革及资源建设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393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应用型院校教学管理工作与创新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394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应用型人才培养的教学模式创新与教学方法改革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395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高等职业教育的教学方法改革与科研创新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396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应用型院校师资培训管理者能力提升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highlight w:val="yellow"/>
              </w:rPr>
            </w:pPr>
            <w:r>
              <w:rPr>
                <w:rFonts w:ascii="宋体" w:hAnsi="宋体" w:cs="宋体"/>
              </w:rPr>
              <w:t>397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应用性院校课程建设与实践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  <w:highlight w:val="yellow"/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3" w:hRule="atLeast"/>
        </w:trPr>
        <w:tc>
          <w:tcPr>
            <w:tcW w:w="8472" w:type="dxa"/>
            <w:gridSpan w:val="4"/>
            <w:vAlign w:val="center"/>
          </w:tcPr>
          <w:p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>
              <w:rPr>
                <w:rFonts w:hint="eastAsia" w:ascii="汉仪仿宋简" w:hAnsi="华文中宋" w:eastAsia="汉仪仿宋简" w:cs="汉仪仿宋简"/>
                <w:b/>
                <w:bCs/>
                <w:color w:val="000000"/>
                <w:kern w:val="0"/>
              </w:rPr>
              <w:t>专业（学科）建设及教学科研培训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398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计算机科学与技术专业规范与专业建设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399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网络工程专业教学改革与应用型人才培养（面向地方本科院校）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400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计算思维与大学计算机课程教学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401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电气信息类专业教学与创新人才培养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402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高等数学教学能力提升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403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电子信息类专业课堂教学设计与教学艺术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404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高等数学教师思维开拓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405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工程应用型自动化专业课堂教学设计与教学艺术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406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高等数学（非数学专业）教师能力提升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407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数字媒体艺术专业建设与教学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408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动画专业创作与教学能力提升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409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市场营销学专业教学与创新人才培养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410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工商管理类专业创新人才培养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411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工商管理类专业教学与科研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412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案例教学法在工商管理专业教学中的应用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413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经济学类专业教学与科研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414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国际经济与贸易专业课程建设与教学辅导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415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会计学专业课程建设与教学辅导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416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电子商务专业课程建设与教学辅导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417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金融学专业课程建设与教学辅导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418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人力资源管理专业课程建设与教学辅导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419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行政管理专业课程建设与教学辅导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420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心理学专业课程建设与教学辅导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421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医学类专业教学与科研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422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汉语言文学专业教学</w:t>
            </w:r>
            <w:bookmarkStart w:id="0" w:name="OLE_LINK8"/>
            <w:r>
              <w:rPr>
                <w:rFonts w:hint="eastAsia" w:ascii="宋体" w:hAnsi="宋体" w:cs="宋体"/>
              </w:rPr>
              <w:t>与创新人才培养</w:t>
            </w:r>
            <w:bookmarkEnd w:id="0"/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423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医学类专业科研申报与科研方法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424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大学英语教学改革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425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信息技术在医学教学中的应用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426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高校英语教学理论与实践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427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生物学科教学与科研方法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428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工业设计前沿发展与教学策略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0" w:hRule="atLeast"/>
        </w:trPr>
        <w:tc>
          <w:tcPr>
            <w:tcW w:w="8472" w:type="dxa"/>
            <w:gridSpan w:val="4"/>
            <w:vAlign w:val="center"/>
          </w:tcPr>
          <w:p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>
              <w:rPr>
                <w:rFonts w:hint="eastAsia" w:ascii="汉仪仿宋简" w:hAnsi="华文中宋" w:eastAsia="汉仪仿宋简" w:cs="汉仪仿宋简"/>
                <w:b/>
                <w:bCs/>
                <w:color w:val="000000"/>
                <w:kern w:val="0"/>
              </w:rPr>
              <w:t>教师发展通识培训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429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高校教学理念、教学方法与实践（文）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430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高校教学理念、教学方法与实践（理工）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431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高校课堂教学理念与教学方法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432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高校教学改革与创新人才培养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433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高等教育教学理念创新与提升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434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高校教师教学方法与教学技能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435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高校教师教学能力与专业素养提升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436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海外高校教学方式与经验借鉴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437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大学卓越教学系列</w:t>
            </w:r>
            <w:r>
              <w:rPr>
                <w:rFonts w:ascii="宋体" w:hAnsi="宋体" w:cs="宋体"/>
                <w:color w:val="000000"/>
                <w:kern w:val="0"/>
              </w:rPr>
              <w:t>—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大学教学法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438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高校教师教学艺术（文）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439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大学卓越教学系列</w:t>
            </w:r>
            <w:r>
              <w:rPr>
                <w:rFonts w:ascii="宋体" w:hAnsi="宋体" w:cs="宋体"/>
                <w:color w:val="000000"/>
                <w:kern w:val="0"/>
              </w:rPr>
              <w:t>—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学习心理及其教学实践应用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440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高校教学设计理论与实践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441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大学卓越教学系列</w:t>
            </w:r>
            <w:r>
              <w:rPr>
                <w:rFonts w:ascii="宋体" w:hAnsi="宋体" w:cs="宋体"/>
                <w:color w:val="000000"/>
                <w:kern w:val="0"/>
              </w:rPr>
              <w:t>—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课堂教学的技术与艺术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442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课程教学的理论与实践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443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大学卓越教学系列</w:t>
            </w:r>
            <w:r>
              <w:rPr>
                <w:rFonts w:ascii="宋体" w:hAnsi="宋体" w:cs="宋体"/>
                <w:color w:val="000000"/>
                <w:kern w:val="0"/>
              </w:rPr>
              <w:t>—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大学生学习指导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444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高校课堂教学方法的改革与创新（文）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445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高校有效教学及实施策略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446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高校课堂教学方法的改革与创新（理工）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447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高校教学质量、效果的评价与提升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448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国外大学课堂教学模式借鉴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449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高校教师职业道德修养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450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营造兴趣课堂，实现魅力教学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451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高等教育教与学的心理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452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高校教师专业成长与学术职业规划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453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科研方法与项目申报（文）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454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高校教师的心理调适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455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科研方法与项目申报（理工）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456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大学学习心理与教学互动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457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科研方法论与高校教师科学素养培育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458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心理学在高校教学过程中的应用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459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教学与科研互动：教师教学能力养成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信息化教学理念与方法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在线开放课程的建设与应用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现代教育技术在高校教学中的应用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信息技术与高校课程教学深度融合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网络环境下的学习变革及教学适应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教育技术辅助教学的方法及案例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信息化环境下的教学设计（文）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教师信息素养与技术促进教学创新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信息化环境下的教学设计（理工）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多媒体技术在高校教学中的应用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470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数字化教学方案设计与实施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471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高校教师多媒体课件制作技能提升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472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</w:rPr>
              <w:t>视频课程与多媒体课件制作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473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</w:rPr>
              <w:t>数字化教学资源建设与信息化教学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474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慕课的理念与实践探索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475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科研项目设计与申报（理工）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476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科研项目设计与申报（文）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477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高校教师师德素养与专业发展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478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教师职业生涯规划与发展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479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教学相长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为人师表</w:t>
            </w:r>
            <w:r>
              <w:rPr>
                <w:rFonts w:ascii="宋体" w:hAnsi="宋体" w:cs="宋体"/>
                <w:kern w:val="0"/>
              </w:rPr>
              <w:t>——</w:t>
            </w:r>
            <w:r>
              <w:rPr>
                <w:rFonts w:hint="eastAsia" w:ascii="宋体" w:hAnsi="宋体" w:cs="宋体"/>
                <w:kern w:val="0"/>
              </w:rPr>
              <w:t>教师的修养及礼仪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480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压力管理与心理健康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481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</w:rPr>
              <w:t>教师：从知识的传授者到生命的点燃者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482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职业素养与教师发展系列</w:t>
            </w:r>
            <w:r>
              <w:rPr>
                <w:rFonts w:ascii="宋体" w:hAnsi="宋体" w:cs="宋体"/>
                <w:color w:val="000000"/>
                <w:kern w:val="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教师嗓音训练及保健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483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教与学的理解及应用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9" w:hRule="atLeast"/>
        </w:trPr>
        <w:tc>
          <w:tcPr>
            <w:tcW w:w="8472" w:type="dxa"/>
            <w:gridSpan w:val="4"/>
            <w:vAlign w:val="center"/>
          </w:tcPr>
          <w:p>
            <w:pPr>
              <w:widowControl/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汉仪仿宋简" w:hAnsi="华文中宋" w:eastAsia="汉仪仿宋简" w:cs="汉仪仿宋简"/>
                <w:b/>
                <w:bCs/>
                <w:color w:val="000000"/>
                <w:kern w:val="0"/>
              </w:rPr>
              <w:t>高校新入职教师和青年教师专题培训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484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高校新入职教师的教学适应性培训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485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高校新入职教师的教学实践技能培训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486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高校新进教师素质培养与教学能力提升（理工）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487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高校新进教师素质培养与教学能力提升（文科）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  <w:highlight w:val="yellow"/>
              </w:rPr>
            </w:pPr>
            <w:r>
              <w:rPr>
                <w:rFonts w:ascii="宋体" w:hAnsi="宋体" w:cs="宋体"/>
                <w:color w:val="000000"/>
              </w:rPr>
              <w:t>488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高校新入职教师的课堂教学能力培训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489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青年教师职业生涯规划与发展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490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青年教师成长系列</w:t>
            </w:r>
            <w:r>
              <w:rPr>
                <w:rFonts w:ascii="宋体" w:hAnsi="宋体" w:cs="宋体"/>
                <w:color w:val="000000"/>
                <w:kern w:val="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高校青年教师素质培养与教学能力提升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491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青年教师成长系列</w:t>
            </w:r>
            <w:r>
              <w:rPr>
                <w:rFonts w:ascii="宋体" w:hAnsi="宋体" w:cs="宋体"/>
                <w:color w:val="000000"/>
                <w:kern w:val="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高校青年教师职业生涯规划与发展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492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青年教师成长系列</w:t>
            </w:r>
            <w:r>
              <w:rPr>
                <w:rFonts w:ascii="宋体" w:hAnsi="宋体" w:cs="宋体"/>
                <w:color w:val="000000"/>
                <w:kern w:val="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心理学在高校教学过程中的应用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493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青年教师成长系列</w:t>
            </w:r>
            <w:r>
              <w:rPr>
                <w:rFonts w:ascii="宋体" w:hAnsi="宋体" w:cs="宋体"/>
                <w:color w:val="000000"/>
                <w:kern w:val="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高校青年教师师德修养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494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青年教师卓越教学能力的培养与提升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495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专题：青年教师教学方法专题（文科）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496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专题：青年教师教学方法专题（理科）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497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FF0000"/>
                <w:kern w:val="0"/>
              </w:rPr>
            </w:pPr>
            <w:r>
              <w:rPr>
                <w:rFonts w:hint="eastAsia" w:ascii="宋体" w:hAnsi="宋体" w:cs="宋体"/>
              </w:rPr>
              <w:t>高校教师压力管理与教学技能提升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498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</w:rPr>
              <w:t>青年教师的职业发展与路径选择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499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提高青年教师课堂教学能力的有效策略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500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</w:rPr>
              <w:t>高校青年教师的时间管理与压力纾解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0" w:hRule="atLeast"/>
        </w:trPr>
        <w:tc>
          <w:tcPr>
            <w:tcW w:w="8472" w:type="dxa"/>
            <w:gridSpan w:val="4"/>
            <w:vAlign w:val="center"/>
          </w:tcPr>
          <w:p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>
              <w:rPr>
                <w:rFonts w:hint="eastAsia" w:ascii="汉仪仿宋简" w:hAnsi="华文中宋" w:eastAsia="汉仪仿宋简" w:cs="汉仪仿宋简"/>
                <w:b/>
                <w:bCs/>
                <w:color w:val="000000"/>
                <w:kern w:val="0"/>
              </w:rPr>
              <w:t>其他专题培训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501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高校硕士研究生导师培训（理工）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高校硕士研究生导师培训（文）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503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高校硕士研究生导师培训（</w:t>
            </w:r>
            <w:r>
              <w:rPr>
                <w:rFonts w:ascii="宋体" w:hAnsi="宋体" w:cs="宋体"/>
                <w:color w:val="000000"/>
                <w:kern w:val="0"/>
              </w:rPr>
              <w:t>2012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）（理工）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高校硕士研究生导师培训（</w:t>
            </w:r>
            <w:r>
              <w:rPr>
                <w:rFonts w:ascii="宋体" w:hAnsi="宋体" w:cs="宋体"/>
                <w:color w:val="000000"/>
                <w:kern w:val="0"/>
              </w:rPr>
              <w:t>2012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）（文）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505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研究生培养与科研、论文指导（理工）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研究生培养与科研、论文指导（文）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507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高校教师教学发展创新与实践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高校教学管理创新与实践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509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fldChar w:fldCharType="begin"/>
            </w:r>
            <w:r>
              <w:instrText xml:space="preserve">HYPERLINK "http://www.enetedu.com/course_info.asp?nid=465" \t "_blank"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</w:rPr>
              <w:t>高校教学秘书工作实践与创新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510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高校教学管理人员管理能力提升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511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高校人事信息化管理工作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512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高校教学秘书的职业能力发展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513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高校人事管理干部教师发展专题培训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514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高校创新创业教育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515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bookmarkStart w:id="1" w:name="OLE_LINK3"/>
            <w:bookmarkStart w:id="2" w:name="OLE_LINK4"/>
            <w:r>
              <w:rPr>
                <w:rFonts w:hint="eastAsia" w:ascii="宋体" w:hAnsi="宋体" w:cs="宋体"/>
                <w:color w:val="000000"/>
                <w:kern w:val="0"/>
              </w:rPr>
              <w:t>高校人事管理干部绩效考核专题培训</w:t>
            </w:r>
            <w:bookmarkEnd w:id="1"/>
            <w:bookmarkEnd w:id="2"/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516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大学生创业基础的教育教学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517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大学生职业发展与就业指导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518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大学生学习指导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519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大学生信息素养的教育与教学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520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大学生心理健康与生涯规划的教学与辅导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521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大学生创造性思维培育与创新人才培养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522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大学生安全教育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523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卓越人生</w:t>
            </w:r>
            <w:r>
              <w:rPr>
                <w:rFonts w:ascii="宋体" w:hAnsi="宋体" w:cs="宋体"/>
                <w:color w:val="000000"/>
                <w:kern w:val="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从教之路大家谈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524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精彩课堂</w:t>
            </w:r>
            <w:r>
              <w:rPr>
                <w:rFonts w:ascii="宋体" w:hAnsi="宋体" w:cs="宋体"/>
                <w:color w:val="000000"/>
                <w:kern w:val="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国家级教学名师谈教学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525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关注学生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关注课堂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526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bookmarkStart w:id="3" w:name="OLE_LINK6"/>
            <w:bookmarkStart w:id="4" w:name="OLE_LINK7"/>
            <w:r>
              <w:rPr>
                <w:rFonts w:hint="eastAsia" w:ascii="宋体" w:hAnsi="宋体" w:cs="宋体"/>
                <w:color w:val="000000"/>
                <w:kern w:val="0"/>
              </w:rPr>
              <w:t>高校精品课程建设与实践</w:t>
            </w:r>
            <w:bookmarkEnd w:id="3"/>
            <w:bookmarkEnd w:id="4"/>
            <w:r>
              <w:rPr>
                <w:rFonts w:hint="eastAsia" w:ascii="宋体" w:hAnsi="宋体" w:cs="宋体"/>
                <w:color w:val="000000"/>
                <w:kern w:val="0"/>
              </w:rPr>
              <w:t>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527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高校行政管理人员管理能力提升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528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大学生科研素养培养与论文指导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529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职业素养与教师发展系列</w:t>
            </w:r>
            <w:r>
              <w:rPr>
                <w:rFonts w:ascii="宋体" w:hAnsi="宋体" w:cs="宋体"/>
                <w:color w:val="000000"/>
                <w:kern w:val="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高校教师身心健康指导</w:t>
            </w:r>
          </w:p>
        </w:tc>
        <w:tc>
          <w:tcPr>
            <w:tcW w:w="70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530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职业素养与教师发展系列</w:t>
            </w:r>
            <w:r>
              <w:rPr>
                <w:rFonts w:ascii="宋体" w:hAnsi="宋体" w:cs="宋体"/>
                <w:color w:val="000000"/>
                <w:kern w:val="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青年教师教学能力提升与职业规划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531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面向新时代的学生学习指导及教学方式创新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532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大学生思维训练与创新能力培养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533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大学生素质教育与高校文化素质教育课建设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534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史学与人文修养提升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535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大学生数学思维的培养</w:t>
            </w:r>
            <w:r>
              <w:rPr>
                <w:rFonts w:ascii="宋体" w:hAnsi="宋体" w:cs="宋体"/>
                <w:kern w:val="0"/>
              </w:rPr>
              <w:t>——</w:t>
            </w:r>
            <w:r>
              <w:rPr>
                <w:rFonts w:hint="eastAsia" w:ascii="宋体" w:hAnsi="宋体" w:cs="宋体"/>
                <w:kern w:val="0"/>
              </w:rPr>
              <w:t>兼谈数学文化课教学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</w:p>
        </w:tc>
      </w:tr>
    </w:tbl>
    <w:p>
      <w:pPr>
        <w:widowControl/>
        <w:spacing w:line="380" w:lineRule="exact"/>
        <w:rPr>
          <w:rFonts w:ascii="仿宋_GB2312" w:hAnsi="华文宋体" w:eastAsia="仿宋_GB2312" w:cs="Times New Roman"/>
          <w:sz w:val="28"/>
          <w:szCs w:val="28"/>
        </w:rPr>
      </w:pPr>
    </w:p>
    <w:p>
      <w:pPr>
        <w:widowControl/>
        <w:spacing w:line="380" w:lineRule="exact"/>
        <w:rPr>
          <w:rFonts w:ascii="仿宋_GB2312" w:hAnsi="华文宋体" w:eastAsia="仿宋_GB2312" w:cs="Times New Roman"/>
          <w:sz w:val="28"/>
          <w:szCs w:val="28"/>
        </w:rPr>
      </w:pPr>
    </w:p>
    <w:p>
      <w:pPr>
        <w:widowControl/>
        <w:spacing w:line="380" w:lineRule="exact"/>
        <w:rPr>
          <w:rFonts w:ascii="仿宋_GB2312" w:hAnsi="华文宋体" w:eastAsia="仿宋_GB2312" w:cs="Times New Roman"/>
          <w:sz w:val="28"/>
          <w:szCs w:val="28"/>
        </w:rPr>
      </w:pPr>
    </w:p>
    <w:p>
      <w:pPr>
        <w:widowControl/>
        <w:spacing w:line="380" w:lineRule="exact"/>
        <w:rPr>
          <w:rFonts w:ascii="仿宋_GB2312" w:hAnsi="华文宋体" w:eastAsia="仿宋_GB2312" w:cs="Times New Roman"/>
          <w:sz w:val="28"/>
          <w:szCs w:val="28"/>
        </w:rPr>
      </w:pPr>
    </w:p>
    <w:p>
      <w:pPr>
        <w:widowControl/>
        <w:spacing w:line="380" w:lineRule="exact"/>
        <w:rPr>
          <w:rFonts w:ascii="仿宋_GB2312" w:hAnsi="华文宋体" w:eastAsia="仿宋_GB2312" w:cs="Times New Roman"/>
          <w:sz w:val="28"/>
          <w:szCs w:val="28"/>
        </w:rPr>
      </w:pPr>
    </w:p>
    <w:p>
      <w:pPr>
        <w:widowControl/>
        <w:spacing w:line="380" w:lineRule="exact"/>
        <w:rPr>
          <w:rFonts w:ascii="仿宋_GB2312" w:hAnsi="华文宋体" w:eastAsia="仿宋_GB2312" w:cs="Times New Roman"/>
          <w:sz w:val="28"/>
          <w:szCs w:val="28"/>
        </w:rPr>
      </w:pPr>
    </w:p>
    <w:p>
      <w:pPr>
        <w:widowControl/>
        <w:spacing w:line="380" w:lineRule="exact"/>
        <w:rPr>
          <w:rFonts w:ascii="仿宋_GB2312" w:hAnsi="华文宋体" w:eastAsia="仿宋_GB2312" w:cs="Times New Roman"/>
          <w:sz w:val="28"/>
          <w:szCs w:val="28"/>
        </w:rPr>
      </w:pPr>
    </w:p>
    <w:p>
      <w:pPr>
        <w:widowControl/>
        <w:spacing w:line="380" w:lineRule="exact"/>
        <w:rPr>
          <w:rFonts w:ascii="仿宋_GB2312" w:hAnsi="华文宋体" w:eastAsia="仿宋_GB2312" w:cs="Times New Roman"/>
          <w:sz w:val="28"/>
          <w:szCs w:val="28"/>
        </w:rPr>
      </w:pPr>
    </w:p>
    <w:p>
      <w:pPr>
        <w:widowControl/>
        <w:spacing w:line="380" w:lineRule="exact"/>
        <w:rPr>
          <w:rFonts w:ascii="仿宋_GB2312" w:hAnsi="华文宋体" w:eastAsia="仿宋_GB2312" w:cs="Times New Roman"/>
          <w:sz w:val="28"/>
          <w:szCs w:val="28"/>
        </w:rPr>
      </w:pPr>
    </w:p>
    <w:p>
      <w:pPr>
        <w:widowControl/>
        <w:jc w:val="left"/>
        <w:rPr>
          <w:rFonts w:ascii="仿宋_GB2312" w:hAnsi="华文宋体" w:eastAsia="仿宋_GB2312" w:cs="Times New Roman"/>
          <w:sz w:val="30"/>
          <w:szCs w:val="30"/>
        </w:rPr>
      </w:pPr>
      <w:r>
        <w:rPr>
          <w:rFonts w:hint="eastAsia" w:ascii="仿宋_GB2312" w:hAnsi="华文宋体" w:eastAsia="仿宋_GB2312" w:cs="仿宋_GB2312"/>
          <w:sz w:val="30"/>
          <w:szCs w:val="30"/>
        </w:rPr>
        <w:t>附件</w:t>
      </w:r>
      <w:r>
        <w:rPr>
          <w:rFonts w:ascii="仿宋_GB2312" w:hAnsi="华文宋体" w:eastAsia="仿宋_GB2312" w:cs="仿宋_GB2312"/>
          <w:sz w:val="30"/>
          <w:szCs w:val="30"/>
        </w:rPr>
        <w:t xml:space="preserve">4 </w:t>
      </w:r>
    </w:p>
    <w:p>
      <w:pPr>
        <w:widowControl/>
        <w:jc w:val="center"/>
        <w:rPr>
          <w:rFonts w:ascii="宋体" w:cs="Times New Roman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2014</w:t>
      </w:r>
      <w:r>
        <w:rPr>
          <w:rFonts w:hint="eastAsia" w:ascii="宋体" w:hAnsi="宋体" w:cs="宋体"/>
          <w:b/>
          <w:bCs/>
          <w:sz w:val="30"/>
          <w:szCs w:val="30"/>
        </w:rPr>
        <w:t>年下半年网络公益讲座</w:t>
      </w:r>
    </w:p>
    <w:tbl>
      <w:tblPr>
        <w:tblStyle w:val="11"/>
        <w:tblW w:w="8870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108" w:type="dxa"/>
          <w:right w:w="108" w:type="dxa"/>
        </w:tblCellMar>
      </w:tblPr>
      <w:tblGrid>
        <w:gridCol w:w="828"/>
        <w:gridCol w:w="4451"/>
        <w:gridCol w:w="2748"/>
        <w:gridCol w:w="8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5" w:hRule="atLeast"/>
        </w:trPr>
        <w:tc>
          <w:tcPr>
            <w:tcW w:w="82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45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讲座名称</w:t>
            </w:r>
          </w:p>
        </w:tc>
        <w:tc>
          <w:tcPr>
            <w:tcW w:w="274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主讲教师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500" w:lineRule="exact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地点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焦裕禄在兰考的</w:t>
            </w:r>
            <w:r>
              <w:rPr>
                <w:rFonts w:ascii="宋体" w:hAnsi="宋体" w:cs="宋体"/>
                <w:color w:val="000000"/>
                <w:kern w:val="0"/>
              </w:rPr>
              <w:t>475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天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张冲（焦裕禄干部学院）</w:t>
            </w:r>
          </w:p>
        </w:tc>
        <w:tc>
          <w:tcPr>
            <w:tcW w:w="843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  <w:r>
              <w:rPr>
                <w:rFonts w:hint="eastAsia" w:ascii="汉仪仿宋简" w:hAnsi="华文中宋" w:eastAsia="汉仪仿宋简" w:cs="汉仪仿宋简"/>
                <w:color w:val="000000"/>
                <w:kern w:val="0"/>
              </w:rPr>
              <w:t>各高校自设分会场，已参训教师可通过网络参加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大学生数学思维的培养：数学文化课案例剖析</w:t>
            </w:r>
            <w:r>
              <w:rPr>
                <w:rFonts w:ascii="宋体" w:hAnsi="宋体" w:cs="宋体"/>
                <w:color w:val="000000"/>
                <w:kern w:val="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“黄金分割”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顾沛（南开大学）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历史文化认同与中国统一多民族国家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瞿林东（北京师范大学）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大学转型的反思及应用型大学应对的路径选择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甘德安（北京工业大学）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科学与艺术交融的大学美育理念与实践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沈致隆（北京工商大学）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《说文》释义的文化解读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李索（大连大学）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创业教育与专业教育深度融合的改革与实践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黄兆信</w:t>
            </w:r>
            <w:r>
              <w:rPr>
                <w:rFonts w:ascii="宋体" w:cs="Times New Roman"/>
                <w:color w:val="000000"/>
                <w:kern w:val="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（温州大学）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学者人生与学术生涯之教师学术水平提升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童美松（同济大学）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教师工作压力与心理调适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许燕（北京师范大学）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开放课程建设经验分享</w:t>
            </w:r>
            <w:r>
              <w:rPr>
                <w:rFonts w:ascii="宋体" w:hAnsi="宋体" w:cs="宋体"/>
                <w:color w:val="000000"/>
                <w:kern w:val="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以物流学为例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汝宜红（北京交通大学）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中国的第五大发明：神奇的天干地支与五行”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汝企和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(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北京师范大学）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高校课堂有效性教学艺术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王牧华（西南大学）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生态纺织品标准及环保检测技术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龚</w:t>
            </w:r>
            <w:r>
              <w:rPr>
                <w:rFonts w:hint="eastAsia" w:ascii="宋体" w:hAnsi="华文仿宋" w:eastAsia="华文仿宋" w:cs="华文仿宋"/>
                <w:color w:val="000000"/>
                <w:kern w:val="0"/>
              </w:rPr>
              <w:t>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（北京服装学院）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大学生心理疏导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岳云强（北京化工大学）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产业发展与人力资源开发</w:t>
            </w:r>
            <w:r>
              <w:rPr>
                <w:rFonts w:ascii="宋体" w:hAnsi="宋体" w:cs="宋体"/>
                <w:color w:val="000000"/>
                <w:kern w:val="0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暂定方向</w:t>
            </w:r>
            <w:r>
              <w:rPr>
                <w:rFonts w:ascii="宋体" w:hAnsi="宋体" w:cs="宋体"/>
                <w:color w:val="000000"/>
                <w:kern w:val="0"/>
              </w:rPr>
              <w:t>)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刘平青（北京理工大学）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以</w:t>
            </w:r>
            <w:r>
              <w:rPr>
                <w:rFonts w:ascii="宋体" w:hAnsi="宋体" w:cs="宋体"/>
                <w:color w:val="000000"/>
                <w:kern w:val="0"/>
              </w:rPr>
              <w:t>MOOC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促进教学模式改革的实践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李芳（对外经贸大学）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信息技术条件下课堂教学环境建设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李芳（对外经贸大学）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青年教师教学诊断案例分析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李芳（对外经贸大学）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基于微信服务的移动教学平台建设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邹密（吉林大学）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创新类课程的创新教学实践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刘彦军（黄淮学院）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教孩子开心</w:t>
            </w:r>
            <w:r>
              <w:rPr>
                <w:rFonts w:ascii="宋体" w:hAnsi="宋体" w:cs="宋体"/>
                <w:color w:val="000000"/>
                <w:kern w:val="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迈向自由与健康的亲子教育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国智丹（中山大学）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高校教师的阳光心态与高效能促进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国智丹（中山大学）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3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信息技术支持的课程教学改革与教师专业发展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谢幼如（华南师范大学）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7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24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释放经济改革的红利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张占斌（国家行政学院）</w:t>
            </w:r>
          </w:p>
        </w:tc>
        <w:tc>
          <w:tcPr>
            <w:tcW w:w="843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汉仪仿宋简" w:hAnsi="华文中宋" w:eastAsia="汉仪仿宋简" w:cs="汉仪仿宋简"/>
                <w:color w:val="000000"/>
                <w:kern w:val="0"/>
              </w:rPr>
              <w:t>各高校自设分会场，已参训教师可自选地点参加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25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教师用声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吴郁（中国传媒大学）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26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治学与教学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杨建文（湖北大学）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27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钱学森先生留学报国的灿烂人生</w:t>
            </w:r>
            <w:r>
              <w:rPr>
                <w:rFonts w:ascii="宋体" w:hAnsi="宋体" w:cs="宋体"/>
                <w:color w:val="000000"/>
                <w:kern w:val="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对我们教育的启示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周自强（北京航空航天大学）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弘扬大师风范，培育高尚师德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张慕葏（清华大学）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29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提高资源产出率是建设生态文明的重要途径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季昆森（安徽大学）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如何研判经济形势</w:t>
            </w:r>
            <w:r>
              <w:rPr>
                <w:rFonts w:ascii="宋体" w:hAnsi="宋体" w:cs="宋体"/>
                <w:color w:val="000000"/>
                <w:kern w:val="0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宏观经济指标解读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张青（国家行政学院）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31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课堂教学的方法和技巧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朱月龙（河北师范大学）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32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中国航天的未来发展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郭建宁（航天集团科技委）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828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33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当前经济形势与财政改革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冯俏彬（国家行政学院）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7" w:hRule="atLeast"/>
        </w:trPr>
        <w:tc>
          <w:tcPr>
            <w:tcW w:w="828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学校及教师形象管理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刘庆龙（清华大学）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3" w:hRule="atLeast"/>
        </w:trPr>
        <w:tc>
          <w:tcPr>
            <w:tcW w:w="828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核能及其应用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马栩泉（清华大学）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widowControl/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7" w:hRule="atLeast"/>
        </w:trPr>
        <w:tc>
          <w:tcPr>
            <w:tcW w:w="828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中国人的信仰与政治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吕嘉（清华大学）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widowControl/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7" w:hRule="atLeast"/>
        </w:trPr>
        <w:tc>
          <w:tcPr>
            <w:tcW w:w="828" w:type="dxa"/>
            <w:vAlign w:val="center"/>
          </w:tcPr>
          <w:p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37</w:t>
            </w:r>
          </w:p>
        </w:tc>
        <w:tc>
          <w:tcPr>
            <w:tcW w:w="4451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法律与生活</w:t>
            </w:r>
          </w:p>
        </w:tc>
        <w:tc>
          <w:tcPr>
            <w:tcW w:w="2748" w:type="dxa"/>
            <w:vAlign w:val="center"/>
          </w:tcPr>
          <w:p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杨积堂（北京联合大学）</w:t>
            </w:r>
          </w:p>
        </w:tc>
        <w:tc>
          <w:tcPr>
            <w:tcW w:w="843" w:type="dxa"/>
            <w:vMerge w:val="continue"/>
            <w:textDirection w:val="tbRlV"/>
            <w:vAlign w:val="center"/>
          </w:tcPr>
          <w:p>
            <w:pPr>
              <w:widowControl/>
              <w:rPr>
                <w:rFonts w:ascii="汉仪仿宋简" w:hAnsi="华文中宋" w:eastAsia="汉仪仿宋简" w:cs="Times New Roman"/>
                <w:b/>
                <w:bCs/>
                <w:color w:val="000000"/>
                <w:kern w:val="0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汉仪仿宋简">
    <w:altName w:val="Arial Unicode MS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vAnchor="text" w:hAnchor="margin" w:xAlign="right" w:y="1"/>
      <w:rPr>
        <w:rStyle w:val="9"/>
        <w:rFonts w:cs="Times New Roman"/>
      </w:rPr>
    </w:pPr>
  </w:p>
  <w:p>
    <w:pPr>
      <w:pStyle w:val="4"/>
      <w:ind w:right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0"/>
      </w:pBdr>
      <w:jc w:val="both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7484D"/>
    <w:rsid w:val="00001F89"/>
    <w:rsid w:val="000216AC"/>
    <w:rsid w:val="00036E6E"/>
    <w:rsid w:val="00064F4F"/>
    <w:rsid w:val="0006786A"/>
    <w:rsid w:val="00071353"/>
    <w:rsid w:val="00072850"/>
    <w:rsid w:val="0007763A"/>
    <w:rsid w:val="00084CC9"/>
    <w:rsid w:val="00097532"/>
    <w:rsid w:val="000A3416"/>
    <w:rsid w:val="000A5409"/>
    <w:rsid w:val="000B7302"/>
    <w:rsid w:val="000C26A3"/>
    <w:rsid w:val="000D28B7"/>
    <w:rsid w:val="000D471B"/>
    <w:rsid w:val="000D733E"/>
    <w:rsid w:val="000E0732"/>
    <w:rsid w:val="000E2F7B"/>
    <w:rsid w:val="000F2CF8"/>
    <w:rsid w:val="000F6198"/>
    <w:rsid w:val="000F6CCE"/>
    <w:rsid w:val="000F6E4D"/>
    <w:rsid w:val="001002C9"/>
    <w:rsid w:val="00100E52"/>
    <w:rsid w:val="00123695"/>
    <w:rsid w:val="00126FE4"/>
    <w:rsid w:val="00144B3B"/>
    <w:rsid w:val="001507CF"/>
    <w:rsid w:val="00151C04"/>
    <w:rsid w:val="00162B3E"/>
    <w:rsid w:val="00164941"/>
    <w:rsid w:val="00165815"/>
    <w:rsid w:val="00171D0A"/>
    <w:rsid w:val="001769EA"/>
    <w:rsid w:val="0017730A"/>
    <w:rsid w:val="00180BC7"/>
    <w:rsid w:val="001940EF"/>
    <w:rsid w:val="001A454C"/>
    <w:rsid w:val="001A56B8"/>
    <w:rsid w:val="001A76C1"/>
    <w:rsid w:val="001D1F0D"/>
    <w:rsid w:val="001D2211"/>
    <w:rsid w:val="001D7BC9"/>
    <w:rsid w:val="001F14BC"/>
    <w:rsid w:val="001F5AC8"/>
    <w:rsid w:val="001F68E6"/>
    <w:rsid w:val="00200C54"/>
    <w:rsid w:val="00206729"/>
    <w:rsid w:val="00207A50"/>
    <w:rsid w:val="00215565"/>
    <w:rsid w:val="00224DE7"/>
    <w:rsid w:val="00237975"/>
    <w:rsid w:val="00237EBD"/>
    <w:rsid w:val="00241737"/>
    <w:rsid w:val="002448EC"/>
    <w:rsid w:val="00246772"/>
    <w:rsid w:val="002604BB"/>
    <w:rsid w:val="0026148B"/>
    <w:rsid w:val="00292BFD"/>
    <w:rsid w:val="00293C81"/>
    <w:rsid w:val="002A2730"/>
    <w:rsid w:val="002B126C"/>
    <w:rsid w:val="002B521E"/>
    <w:rsid w:val="002C2396"/>
    <w:rsid w:val="002C46CD"/>
    <w:rsid w:val="002C5582"/>
    <w:rsid w:val="002E68AF"/>
    <w:rsid w:val="002E71C7"/>
    <w:rsid w:val="002F02AB"/>
    <w:rsid w:val="003033A5"/>
    <w:rsid w:val="003051DC"/>
    <w:rsid w:val="00312A5F"/>
    <w:rsid w:val="00314FA1"/>
    <w:rsid w:val="00327CFA"/>
    <w:rsid w:val="00332BF6"/>
    <w:rsid w:val="00336292"/>
    <w:rsid w:val="00336419"/>
    <w:rsid w:val="00352A4F"/>
    <w:rsid w:val="0036548C"/>
    <w:rsid w:val="00371280"/>
    <w:rsid w:val="0037577A"/>
    <w:rsid w:val="00376A5F"/>
    <w:rsid w:val="003D57BA"/>
    <w:rsid w:val="003F20CF"/>
    <w:rsid w:val="00410334"/>
    <w:rsid w:val="00410AEE"/>
    <w:rsid w:val="00414E3E"/>
    <w:rsid w:val="004177D8"/>
    <w:rsid w:val="004217C6"/>
    <w:rsid w:val="00422954"/>
    <w:rsid w:val="00424232"/>
    <w:rsid w:val="00430021"/>
    <w:rsid w:val="00431CC0"/>
    <w:rsid w:val="0046319D"/>
    <w:rsid w:val="00464BA4"/>
    <w:rsid w:val="0047484D"/>
    <w:rsid w:val="00493BCC"/>
    <w:rsid w:val="00494DB9"/>
    <w:rsid w:val="004A3BF5"/>
    <w:rsid w:val="004A762A"/>
    <w:rsid w:val="004B3ABE"/>
    <w:rsid w:val="004C38E4"/>
    <w:rsid w:val="004C7276"/>
    <w:rsid w:val="004D3792"/>
    <w:rsid w:val="004D6188"/>
    <w:rsid w:val="004D7427"/>
    <w:rsid w:val="004E658B"/>
    <w:rsid w:val="004E7399"/>
    <w:rsid w:val="004F5EAC"/>
    <w:rsid w:val="00501C36"/>
    <w:rsid w:val="00502DB0"/>
    <w:rsid w:val="00505EF2"/>
    <w:rsid w:val="0050783E"/>
    <w:rsid w:val="0051250C"/>
    <w:rsid w:val="005227E6"/>
    <w:rsid w:val="00542110"/>
    <w:rsid w:val="005457D4"/>
    <w:rsid w:val="005551DC"/>
    <w:rsid w:val="005570EF"/>
    <w:rsid w:val="005769EF"/>
    <w:rsid w:val="0058182A"/>
    <w:rsid w:val="0058525C"/>
    <w:rsid w:val="0059653D"/>
    <w:rsid w:val="005B1931"/>
    <w:rsid w:val="005B1983"/>
    <w:rsid w:val="005D197B"/>
    <w:rsid w:val="005D40EF"/>
    <w:rsid w:val="005D467D"/>
    <w:rsid w:val="005D61FE"/>
    <w:rsid w:val="005D67CC"/>
    <w:rsid w:val="005E0141"/>
    <w:rsid w:val="005E6A37"/>
    <w:rsid w:val="005F3B86"/>
    <w:rsid w:val="005F64C3"/>
    <w:rsid w:val="00603FF8"/>
    <w:rsid w:val="00626969"/>
    <w:rsid w:val="00634AB6"/>
    <w:rsid w:val="006635BB"/>
    <w:rsid w:val="006662E8"/>
    <w:rsid w:val="00694D3D"/>
    <w:rsid w:val="006A03A7"/>
    <w:rsid w:val="006A4DEA"/>
    <w:rsid w:val="006A6C64"/>
    <w:rsid w:val="006B4A4C"/>
    <w:rsid w:val="006B7AFB"/>
    <w:rsid w:val="006C1BA8"/>
    <w:rsid w:val="006C7694"/>
    <w:rsid w:val="006C76CA"/>
    <w:rsid w:val="006E3812"/>
    <w:rsid w:val="006E3B7C"/>
    <w:rsid w:val="006F4258"/>
    <w:rsid w:val="006F7C40"/>
    <w:rsid w:val="00701A4E"/>
    <w:rsid w:val="007025EE"/>
    <w:rsid w:val="00703059"/>
    <w:rsid w:val="0070597B"/>
    <w:rsid w:val="00714F41"/>
    <w:rsid w:val="00716209"/>
    <w:rsid w:val="007203F7"/>
    <w:rsid w:val="0072751B"/>
    <w:rsid w:val="00765353"/>
    <w:rsid w:val="00774171"/>
    <w:rsid w:val="00780F18"/>
    <w:rsid w:val="0078160E"/>
    <w:rsid w:val="00787B77"/>
    <w:rsid w:val="0079279C"/>
    <w:rsid w:val="007A41BD"/>
    <w:rsid w:val="007A7877"/>
    <w:rsid w:val="007B13E4"/>
    <w:rsid w:val="007C0AFD"/>
    <w:rsid w:val="007C301D"/>
    <w:rsid w:val="007E3AFC"/>
    <w:rsid w:val="007F0711"/>
    <w:rsid w:val="007F2343"/>
    <w:rsid w:val="007F2E63"/>
    <w:rsid w:val="008122E9"/>
    <w:rsid w:val="008454F6"/>
    <w:rsid w:val="0085557E"/>
    <w:rsid w:val="00860FBA"/>
    <w:rsid w:val="00864BDD"/>
    <w:rsid w:val="00866759"/>
    <w:rsid w:val="00866DBA"/>
    <w:rsid w:val="00870378"/>
    <w:rsid w:val="00882042"/>
    <w:rsid w:val="00882E26"/>
    <w:rsid w:val="00884F2F"/>
    <w:rsid w:val="00891AF7"/>
    <w:rsid w:val="00897E0C"/>
    <w:rsid w:val="008B6C86"/>
    <w:rsid w:val="008C21F8"/>
    <w:rsid w:val="008C6CF7"/>
    <w:rsid w:val="008D5D3A"/>
    <w:rsid w:val="008E33B9"/>
    <w:rsid w:val="00900550"/>
    <w:rsid w:val="00916821"/>
    <w:rsid w:val="009271F1"/>
    <w:rsid w:val="00927D6F"/>
    <w:rsid w:val="009325E4"/>
    <w:rsid w:val="00932608"/>
    <w:rsid w:val="00934247"/>
    <w:rsid w:val="00940889"/>
    <w:rsid w:val="00945F5C"/>
    <w:rsid w:val="009466B2"/>
    <w:rsid w:val="00947EA5"/>
    <w:rsid w:val="00962830"/>
    <w:rsid w:val="00966C03"/>
    <w:rsid w:val="00970FD1"/>
    <w:rsid w:val="00984445"/>
    <w:rsid w:val="00987BEF"/>
    <w:rsid w:val="009A063A"/>
    <w:rsid w:val="009B1B4B"/>
    <w:rsid w:val="009B6026"/>
    <w:rsid w:val="009C0ADE"/>
    <w:rsid w:val="009C2886"/>
    <w:rsid w:val="009D0A64"/>
    <w:rsid w:val="009E0327"/>
    <w:rsid w:val="00A13020"/>
    <w:rsid w:val="00A17355"/>
    <w:rsid w:val="00A213D2"/>
    <w:rsid w:val="00A37FFC"/>
    <w:rsid w:val="00A42D6A"/>
    <w:rsid w:val="00A637A1"/>
    <w:rsid w:val="00A655A9"/>
    <w:rsid w:val="00A71028"/>
    <w:rsid w:val="00A72772"/>
    <w:rsid w:val="00A75FAF"/>
    <w:rsid w:val="00A77860"/>
    <w:rsid w:val="00A87211"/>
    <w:rsid w:val="00A9003B"/>
    <w:rsid w:val="00A9388D"/>
    <w:rsid w:val="00A94C28"/>
    <w:rsid w:val="00AA205F"/>
    <w:rsid w:val="00AA69E9"/>
    <w:rsid w:val="00AA6EBB"/>
    <w:rsid w:val="00AB57C4"/>
    <w:rsid w:val="00AC02E0"/>
    <w:rsid w:val="00AC08C8"/>
    <w:rsid w:val="00AD5E90"/>
    <w:rsid w:val="00AE703B"/>
    <w:rsid w:val="00B07D2F"/>
    <w:rsid w:val="00B162B8"/>
    <w:rsid w:val="00B200BF"/>
    <w:rsid w:val="00B222EF"/>
    <w:rsid w:val="00B2245A"/>
    <w:rsid w:val="00B231C4"/>
    <w:rsid w:val="00B26102"/>
    <w:rsid w:val="00B26F4E"/>
    <w:rsid w:val="00B34D78"/>
    <w:rsid w:val="00B45351"/>
    <w:rsid w:val="00B50670"/>
    <w:rsid w:val="00B561EA"/>
    <w:rsid w:val="00B6548F"/>
    <w:rsid w:val="00B704E2"/>
    <w:rsid w:val="00B7246A"/>
    <w:rsid w:val="00B8633A"/>
    <w:rsid w:val="00BA0073"/>
    <w:rsid w:val="00BA5C2D"/>
    <w:rsid w:val="00BA6504"/>
    <w:rsid w:val="00BA6F4B"/>
    <w:rsid w:val="00BA7317"/>
    <w:rsid w:val="00BD4E5B"/>
    <w:rsid w:val="00BE68E2"/>
    <w:rsid w:val="00BE7B56"/>
    <w:rsid w:val="00BF6572"/>
    <w:rsid w:val="00C00C60"/>
    <w:rsid w:val="00C209BD"/>
    <w:rsid w:val="00C2243A"/>
    <w:rsid w:val="00C37DA8"/>
    <w:rsid w:val="00C43210"/>
    <w:rsid w:val="00C44CE7"/>
    <w:rsid w:val="00C4512D"/>
    <w:rsid w:val="00C74D80"/>
    <w:rsid w:val="00C77B63"/>
    <w:rsid w:val="00C84B7C"/>
    <w:rsid w:val="00C865C5"/>
    <w:rsid w:val="00CA2195"/>
    <w:rsid w:val="00CA2E0F"/>
    <w:rsid w:val="00CA6320"/>
    <w:rsid w:val="00CB2577"/>
    <w:rsid w:val="00CB3711"/>
    <w:rsid w:val="00CD0EA7"/>
    <w:rsid w:val="00CF0EB2"/>
    <w:rsid w:val="00CF17C6"/>
    <w:rsid w:val="00CF4EE2"/>
    <w:rsid w:val="00D0290A"/>
    <w:rsid w:val="00D0511E"/>
    <w:rsid w:val="00D163EE"/>
    <w:rsid w:val="00D26197"/>
    <w:rsid w:val="00D26F2D"/>
    <w:rsid w:val="00D448DD"/>
    <w:rsid w:val="00D61152"/>
    <w:rsid w:val="00D80353"/>
    <w:rsid w:val="00D85935"/>
    <w:rsid w:val="00D85EFA"/>
    <w:rsid w:val="00D92C3A"/>
    <w:rsid w:val="00D966AE"/>
    <w:rsid w:val="00DA0F4A"/>
    <w:rsid w:val="00DA6AA1"/>
    <w:rsid w:val="00DA7052"/>
    <w:rsid w:val="00DB4795"/>
    <w:rsid w:val="00DB77B4"/>
    <w:rsid w:val="00DC0101"/>
    <w:rsid w:val="00DC2E1C"/>
    <w:rsid w:val="00DC3773"/>
    <w:rsid w:val="00DC53BE"/>
    <w:rsid w:val="00DD1482"/>
    <w:rsid w:val="00DD402D"/>
    <w:rsid w:val="00DD44F1"/>
    <w:rsid w:val="00DD5492"/>
    <w:rsid w:val="00E35245"/>
    <w:rsid w:val="00E500B9"/>
    <w:rsid w:val="00E55AE4"/>
    <w:rsid w:val="00E57185"/>
    <w:rsid w:val="00E6719F"/>
    <w:rsid w:val="00E67FD4"/>
    <w:rsid w:val="00E74E88"/>
    <w:rsid w:val="00E860AF"/>
    <w:rsid w:val="00EB02F4"/>
    <w:rsid w:val="00EC16A0"/>
    <w:rsid w:val="00EC7756"/>
    <w:rsid w:val="00F0306C"/>
    <w:rsid w:val="00F15CB7"/>
    <w:rsid w:val="00F22C1D"/>
    <w:rsid w:val="00F503C5"/>
    <w:rsid w:val="00F719AF"/>
    <w:rsid w:val="00F81C30"/>
    <w:rsid w:val="00F837FA"/>
    <w:rsid w:val="00F913AE"/>
    <w:rsid w:val="00F9543F"/>
    <w:rsid w:val="00FA0D15"/>
    <w:rsid w:val="00FB3FDC"/>
    <w:rsid w:val="00FB57F9"/>
    <w:rsid w:val="00FB7E63"/>
    <w:rsid w:val="00FD3B2C"/>
    <w:rsid w:val="00FD4360"/>
    <w:rsid w:val="00FD594F"/>
    <w:rsid w:val="00FE28A7"/>
    <w:rsid w:val="00FE348C"/>
    <w:rsid w:val="00FE47BE"/>
    <w:rsid w:val="00FF760D"/>
    <w:rsid w:val="1A23630D"/>
    <w:rsid w:val="77A57C4D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nhideWhenUsed="0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5"/>
    <w:semiHidden/>
    <w:uiPriority w:val="99"/>
    <w:pPr>
      <w:ind w:left="100" w:leftChars="2500"/>
    </w:pPr>
  </w:style>
  <w:style w:type="paragraph" w:styleId="3">
    <w:name w:val="Balloon Text"/>
    <w:basedOn w:val="1"/>
    <w:link w:val="16"/>
    <w:semiHidden/>
    <w:uiPriority w:val="99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page number"/>
    <w:basedOn w:val="7"/>
    <w:uiPriority w:val="99"/>
    <w:rPr/>
  </w:style>
  <w:style w:type="character" w:styleId="10">
    <w:name w:val="Hyperlink"/>
    <w:basedOn w:val="7"/>
    <w:uiPriority w:val="99"/>
    <w:rPr>
      <w:color w:val="0000FF"/>
      <w:u w:val="single"/>
    </w:rPr>
  </w:style>
  <w:style w:type="table" w:styleId="12">
    <w:name w:val="Table Grid"/>
    <w:basedOn w:val="11"/>
    <w:uiPriority w:val="99"/>
    <w:pPr/>
    <w:rPr>
      <w:rFonts w:cs="Calibri"/>
    </w:r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13">
    <w:name w:val="页眉 Char"/>
    <w:basedOn w:val="7"/>
    <w:link w:val="5"/>
    <w:locked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locked/>
    <w:uiPriority w:val="99"/>
    <w:rPr>
      <w:sz w:val="18"/>
      <w:szCs w:val="18"/>
    </w:rPr>
  </w:style>
  <w:style w:type="character" w:customStyle="1" w:styleId="15">
    <w:name w:val="日期 Char"/>
    <w:basedOn w:val="7"/>
    <w:link w:val="2"/>
    <w:semiHidden/>
    <w:locked/>
    <w:uiPriority w:val="99"/>
    <w:rPr/>
  </w:style>
  <w:style w:type="character" w:customStyle="1" w:styleId="16">
    <w:name w:val="批注框文本 Char"/>
    <w:basedOn w:val="7"/>
    <w:link w:val="3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19</Pages>
  <Words>2197</Words>
  <Characters>12526</Characters>
  <Lines>104</Lines>
  <Paragraphs>29</Paragraphs>
  <TotalTime>0</TotalTime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2014-07-04T03:35:00Z</dcterms:created>
  <dc:creator>China</dc:creator>
  <cp:lastModifiedBy>黄兰虹</cp:lastModifiedBy>
  <cp:lastPrinted>2014-07-11T06:53:00Z</cp:lastPrinted>
  <dcterms:modified xsi:type="dcterms:W3CDTF">2014-11-11T03:21:53Z</dcterms:modified>
  <dc:title>教高司函〔2014〕33号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